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E21" w:rsidRDefault="006D0DB5">
      <w:r>
        <w:rPr>
          <w:noProof/>
        </w:rPr>
        <w:drawing>
          <wp:inline distT="0" distB="0" distL="0" distR="0">
            <wp:extent cx="5943600" cy="8433893"/>
            <wp:effectExtent l="19050" t="0" r="0" b="0"/>
            <wp:docPr id="1" name="Picture 1" descr="D:\maghalat\همایش چهارم-89\مجتهدی-تاییدی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halat\همایش چهارم-89\مجتهدی-تاییدیه.jpg"/>
                    <pic:cNvPicPr>
                      <a:picLocks noChangeAspect="1" noChangeArrowheads="1"/>
                    </pic:cNvPicPr>
                  </pic:nvPicPr>
                  <pic:blipFill>
                    <a:blip r:embed="rId7" cstate="print"/>
                    <a:srcRect/>
                    <a:stretch>
                      <a:fillRect/>
                    </a:stretch>
                  </pic:blipFill>
                  <pic:spPr bwMode="auto">
                    <a:xfrm>
                      <a:off x="0" y="0"/>
                      <a:ext cx="5943600" cy="8433893"/>
                    </a:xfrm>
                    <a:prstGeom prst="rect">
                      <a:avLst/>
                    </a:prstGeom>
                    <a:noFill/>
                    <a:ln w="9525">
                      <a:noFill/>
                      <a:miter lim="800000"/>
                      <a:headEnd/>
                      <a:tailEnd/>
                    </a:ln>
                  </pic:spPr>
                </pic:pic>
              </a:graphicData>
            </a:graphic>
          </wp:inline>
        </w:drawing>
      </w:r>
    </w:p>
    <w:p w:rsidR="006D0DB5" w:rsidRDefault="006D0DB5">
      <w:r>
        <w:rPr>
          <w:noProof/>
        </w:rPr>
        <w:lastRenderedPageBreak/>
        <w:drawing>
          <wp:inline distT="0" distB="0" distL="0" distR="0">
            <wp:extent cx="5943600" cy="8181191"/>
            <wp:effectExtent l="19050" t="0" r="0" b="0"/>
            <wp:docPr id="2" name="Picture 2" descr="D:\maghalat\همایش چهارم-89\جلد چهارمین همای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halat\همایش چهارم-89\جلد چهارمین همایش.jpg"/>
                    <pic:cNvPicPr>
                      <a:picLocks noChangeAspect="1" noChangeArrowheads="1"/>
                    </pic:cNvPicPr>
                  </pic:nvPicPr>
                  <pic:blipFill>
                    <a:blip r:embed="rId8"/>
                    <a:srcRect/>
                    <a:stretch>
                      <a:fillRect/>
                    </a:stretch>
                  </pic:blipFill>
                  <pic:spPr bwMode="auto">
                    <a:xfrm>
                      <a:off x="0" y="0"/>
                      <a:ext cx="5943600" cy="8181191"/>
                    </a:xfrm>
                    <a:prstGeom prst="rect">
                      <a:avLst/>
                    </a:prstGeom>
                    <a:noFill/>
                    <a:ln w="9525">
                      <a:noFill/>
                      <a:miter lim="800000"/>
                      <a:headEnd/>
                      <a:tailEnd/>
                    </a:ln>
                  </pic:spPr>
                </pic:pic>
              </a:graphicData>
            </a:graphic>
          </wp:inline>
        </w:drawing>
      </w:r>
    </w:p>
    <w:p w:rsidR="006D0DB5" w:rsidRDefault="006D0DB5">
      <w:r>
        <w:rPr>
          <w:noProof/>
        </w:rPr>
        <w:lastRenderedPageBreak/>
        <w:drawing>
          <wp:inline distT="0" distB="0" distL="0" distR="0">
            <wp:extent cx="5943600" cy="8204949"/>
            <wp:effectExtent l="19050" t="0" r="0" b="0"/>
            <wp:docPr id="3" name="Picture 3" descr="D:\maghalat\همایش چهارم-89\مجتهدی-خلاص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halat\همایش چهارم-89\مجتهدی-خلاصه.jpg"/>
                    <pic:cNvPicPr>
                      <a:picLocks noChangeAspect="1" noChangeArrowheads="1"/>
                    </pic:cNvPicPr>
                  </pic:nvPicPr>
                  <pic:blipFill>
                    <a:blip r:embed="rId9"/>
                    <a:srcRect/>
                    <a:stretch>
                      <a:fillRect/>
                    </a:stretch>
                  </pic:blipFill>
                  <pic:spPr bwMode="auto">
                    <a:xfrm>
                      <a:off x="0" y="0"/>
                      <a:ext cx="5943600" cy="8204949"/>
                    </a:xfrm>
                    <a:prstGeom prst="rect">
                      <a:avLst/>
                    </a:prstGeom>
                    <a:noFill/>
                    <a:ln w="9525">
                      <a:noFill/>
                      <a:miter lim="800000"/>
                      <a:headEnd/>
                      <a:tailEnd/>
                    </a:ln>
                  </pic:spPr>
                </pic:pic>
              </a:graphicData>
            </a:graphic>
          </wp:inline>
        </w:drawing>
      </w:r>
    </w:p>
    <w:p w:rsidR="00D95C3C" w:rsidRPr="00CE28C1" w:rsidRDefault="00D95C3C" w:rsidP="00D95C3C">
      <w:pPr>
        <w:pStyle w:val="a1"/>
        <w:rPr>
          <w:rFonts w:cs="B Zar"/>
          <w:rtl/>
        </w:rPr>
      </w:pPr>
      <w:r w:rsidRPr="00CE28C1">
        <w:rPr>
          <w:rFonts w:cs="B Zar" w:hint="cs"/>
          <w:rtl/>
        </w:rPr>
        <w:lastRenderedPageBreak/>
        <w:t>اثر ترکيب حمام توليد پودر روي الکتروليتي بر خصوصيات تخليه باطري روي- اکسيد نقره</w:t>
      </w:r>
    </w:p>
    <w:p w:rsidR="00D95C3C" w:rsidRPr="00CE28C1" w:rsidRDefault="00D95C3C" w:rsidP="00D95C3C">
      <w:pPr>
        <w:pStyle w:val="a4"/>
        <w:rPr>
          <w:rFonts w:cs="B Zar"/>
          <w:rtl/>
          <w:lang w:bidi="fa-IR"/>
        </w:rPr>
      </w:pPr>
      <w:r w:rsidRPr="00CE28C1">
        <w:rPr>
          <w:rFonts w:cs="B Zar" w:hint="cs"/>
          <w:rtl/>
          <w:lang w:bidi="fa-IR"/>
        </w:rPr>
        <w:t>بهرام شريفي</w:t>
      </w:r>
      <w:r w:rsidRPr="00CE28C1">
        <w:rPr>
          <w:rStyle w:val="FootnoteReference"/>
          <w:rFonts w:cs="B Zar"/>
          <w:sz w:val="24"/>
          <w:rtl/>
          <w:lang w:bidi="fa-IR"/>
        </w:rPr>
        <w:footnoteReference w:id="2"/>
      </w:r>
      <w:r w:rsidRPr="00CE28C1">
        <w:rPr>
          <w:rFonts w:cs="B Zar" w:hint="cs"/>
          <w:rtl/>
          <w:lang w:bidi="fa-IR"/>
        </w:rPr>
        <w:t xml:space="preserve">، </w:t>
      </w:r>
      <w:r w:rsidRPr="00CE28C1">
        <w:rPr>
          <w:rFonts w:cs="B Zar" w:hint="cs"/>
          <w:u w:val="single"/>
          <w:rtl/>
          <w:lang w:bidi="fa-IR"/>
        </w:rPr>
        <w:t>ميلاد مجتهدي</w:t>
      </w:r>
      <w:r w:rsidRPr="00CE28C1">
        <w:rPr>
          <w:rStyle w:val="FootnoteReference"/>
          <w:rFonts w:cs="B Zar"/>
          <w:sz w:val="24"/>
          <w:rtl/>
          <w:lang w:bidi="fa-IR"/>
        </w:rPr>
        <w:footnoteReference w:id="3"/>
      </w:r>
      <w:r w:rsidRPr="00CE28C1">
        <w:rPr>
          <w:rFonts w:cs="B Zar" w:hint="cs"/>
          <w:rtl/>
          <w:lang w:bidi="fa-IR"/>
        </w:rPr>
        <w:t>، مسعود گودرزي</w:t>
      </w:r>
      <w:r w:rsidRPr="00CE28C1">
        <w:rPr>
          <w:rStyle w:val="FootnoteReference"/>
          <w:rFonts w:cs="B Zar"/>
          <w:sz w:val="24"/>
          <w:rtl/>
          <w:lang w:bidi="fa-IR"/>
        </w:rPr>
        <w:footnoteReference w:id="4"/>
      </w:r>
      <w:r w:rsidRPr="00CE28C1">
        <w:rPr>
          <w:rFonts w:cs="B Zar" w:hint="cs"/>
          <w:rtl/>
          <w:lang w:bidi="fa-IR"/>
        </w:rPr>
        <w:t>، جليل وحدتي خاکي</w:t>
      </w:r>
      <w:r w:rsidRPr="00CE28C1">
        <w:rPr>
          <w:rStyle w:val="FootnoteReference"/>
          <w:rFonts w:cs="B Zar"/>
          <w:sz w:val="24"/>
          <w:rtl/>
          <w:lang w:bidi="fa-IR"/>
        </w:rPr>
        <w:footnoteReference w:id="5"/>
      </w:r>
    </w:p>
    <w:p w:rsidR="00D95C3C" w:rsidRPr="00CE28C1" w:rsidRDefault="00D95C3C" w:rsidP="00D95C3C">
      <w:pPr>
        <w:pStyle w:val="a6"/>
        <w:rPr>
          <w:rFonts w:cs="B Zar"/>
          <w:szCs w:val="24"/>
          <w:rtl/>
        </w:rPr>
      </w:pPr>
      <w:r w:rsidRPr="00CE28C1">
        <w:rPr>
          <w:rFonts w:cs="B Zar" w:hint="cs"/>
          <w:rtl/>
        </w:rPr>
        <w:t>چکيده</w:t>
      </w:r>
      <w:r w:rsidRPr="00CE28C1">
        <w:rPr>
          <w:rFonts w:cs="B Zar" w:hint="cs"/>
          <w:szCs w:val="24"/>
          <w:rtl/>
        </w:rPr>
        <w:t>:</w:t>
      </w:r>
    </w:p>
    <w:p w:rsidR="00D95C3C" w:rsidRPr="00CE28C1" w:rsidRDefault="00D95C3C" w:rsidP="00D95C3C">
      <w:pPr>
        <w:pStyle w:val="a7"/>
        <w:rPr>
          <w:rFonts w:cs="B Zar"/>
          <w:rtl/>
          <w:lang w:bidi="fa-IR"/>
        </w:rPr>
      </w:pPr>
      <w:r w:rsidRPr="00CE28C1">
        <w:rPr>
          <w:rFonts w:cs="B Zar" w:hint="cs"/>
          <w:rtl/>
          <w:lang w:bidi="fa-IR"/>
        </w:rPr>
        <w:t xml:space="preserve">در اين پژوهش، پودر روي در حمام الکتروليز قليايي توليد گرديد. غلظت هاي 7 تا 11 مولار </w:t>
      </w:r>
      <w:r w:rsidRPr="00CE28C1">
        <w:rPr>
          <w:rFonts w:cs="B Zar"/>
          <w:lang w:bidi="fa-IR"/>
        </w:rPr>
        <w:t>KOH</w:t>
      </w:r>
      <w:r w:rsidRPr="00CE28C1">
        <w:rPr>
          <w:rFonts w:cs="B Zar" w:hint="cs"/>
          <w:rtl/>
          <w:lang w:bidi="fa-IR"/>
        </w:rPr>
        <w:t xml:space="preserve"> و 5/0  تا 2/1 مولار يون زينکات در حمام به کار رفت. پارامترهاي ديگر ثابت نگاه داشته شد. اثر تغييرات غلظت بر مورفولوژي پودر روي حاصل به کمک ميکروسکوپ الکتروني روبشي مورد بررسي قرار گرفت. آندهاي روي از پودرهاي حاصل توليد شد و در سلول باطري روي-اکسيد نقره مورد استفاده قرار گرفت. پس از تخليه باطري</w:t>
      </w:r>
      <w:r w:rsidRPr="00CE28C1">
        <w:rPr>
          <w:rFonts w:cs="B Zar"/>
          <w:rtl/>
          <w:lang w:bidi="fa-IR"/>
        </w:rPr>
        <w:softHyphen/>
      </w:r>
      <w:r w:rsidRPr="00CE28C1">
        <w:rPr>
          <w:rFonts w:cs="B Zar" w:hint="cs"/>
          <w:rtl/>
          <w:lang w:bidi="fa-IR"/>
        </w:rPr>
        <w:t>ها، نمودارهاي زمان-ولتاژ ترسيم شد و زمان</w:t>
      </w:r>
      <w:r w:rsidRPr="00CE28C1">
        <w:rPr>
          <w:rFonts w:cs="B Zar"/>
          <w:rtl/>
          <w:lang w:bidi="fa-IR"/>
        </w:rPr>
        <w:softHyphen/>
      </w:r>
      <w:r w:rsidRPr="00CE28C1">
        <w:rPr>
          <w:rFonts w:cs="B Zar" w:hint="cs"/>
          <w:rtl/>
          <w:lang w:bidi="fa-IR"/>
        </w:rPr>
        <w:t xml:space="preserve">هاي تخليه حاصل شده مورد ارزيابي قرار گرفت. با افزايش غلظت </w:t>
      </w:r>
      <w:r w:rsidRPr="00CE28C1">
        <w:rPr>
          <w:rFonts w:cs="B Zar"/>
          <w:lang w:bidi="fa-IR"/>
        </w:rPr>
        <w:t>KOH</w:t>
      </w:r>
      <w:r w:rsidRPr="00CE28C1">
        <w:rPr>
          <w:rFonts w:cs="B Zar" w:hint="cs"/>
          <w:rtl/>
          <w:lang w:bidi="fa-IR"/>
        </w:rPr>
        <w:t xml:space="preserve">  و کاهش غلظت يون زينکات، مورفولوژي پودر روي شاخه</w:t>
      </w:r>
      <w:r w:rsidRPr="00CE28C1">
        <w:rPr>
          <w:rFonts w:cs="B Zar" w:hint="cs"/>
          <w:rtl/>
          <w:lang w:bidi="fa-IR"/>
        </w:rPr>
        <w:softHyphen/>
        <w:t>اي</w:t>
      </w:r>
      <w:r w:rsidRPr="00CE28C1">
        <w:rPr>
          <w:rFonts w:cs="B Zar"/>
          <w:rtl/>
          <w:lang w:bidi="fa-IR"/>
        </w:rPr>
        <w:softHyphen/>
      </w:r>
      <w:r w:rsidRPr="00CE28C1">
        <w:rPr>
          <w:rFonts w:cs="B Zar" w:hint="cs"/>
          <w:rtl/>
          <w:lang w:bidi="fa-IR"/>
        </w:rPr>
        <w:t>تر شده و در نتيجه با افزايش سطح مؤثر ذرات پودر، زمان تخليه</w:t>
      </w:r>
      <w:r w:rsidRPr="00CE28C1">
        <w:rPr>
          <w:rFonts w:cs="B Zar"/>
          <w:rtl/>
          <w:lang w:bidi="fa-IR"/>
        </w:rPr>
        <w:softHyphen/>
      </w:r>
      <w:r w:rsidRPr="00CE28C1">
        <w:rPr>
          <w:rFonts w:cs="B Zar" w:hint="cs"/>
          <w:rtl/>
          <w:lang w:bidi="fa-IR"/>
        </w:rPr>
        <w:t>ي باطري نيز افزايش پيدا مي</w:t>
      </w:r>
      <w:r w:rsidRPr="00CE28C1">
        <w:rPr>
          <w:rFonts w:cs="B Zar" w:hint="cs"/>
          <w:rtl/>
          <w:lang w:bidi="fa-IR"/>
        </w:rPr>
        <w:softHyphen/>
      </w:r>
      <w:r w:rsidRPr="00CE28C1">
        <w:rPr>
          <w:rFonts w:cs="B Zar"/>
          <w:rtl/>
          <w:lang w:bidi="fa-IR"/>
        </w:rPr>
        <w:softHyphen/>
      </w:r>
      <w:r w:rsidRPr="00CE28C1">
        <w:rPr>
          <w:rFonts w:cs="B Zar" w:hint="cs"/>
          <w:rtl/>
          <w:lang w:bidi="fa-IR"/>
        </w:rPr>
        <w:t>کند. بهترين زمان تخليه پيش از رسيدن به حداقل ولتاژ تعيين شده 25/1 ولت، 9/7 دقيقه به دست آمده است.</w:t>
      </w:r>
    </w:p>
    <w:p w:rsidR="00D95C3C" w:rsidRPr="00CE28C1" w:rsidRDefault="00D95C3C" w:rsidP="00D95C3C">
      <w:pPr>
        <w:pStyle w:val="a8"/>
        <w:rPr>
          <w:rFonts w:cs="B Zar"/>
          <w:sz w:val="24"/>
          <w:szCs w:val="24"/>
          <w:rtl/>
          <w:lang w:bidi="fa-IR"/>
        </w:rPr>
      </w:pPr>
      <w:r w:rsidRPr="00CE28C1">
        <w:rPr>
          <w:rFonts w:cs="B Zar" w:hint="cs"/>
          <w:b/>
          <w:bCs/>
          <w:rtl/>
          <w:lang w:bidi="fa-IR"/>
        </w:rPr>
        <w:t>کلمات کليدي:</w:t>
      </w:r>
      <w:r w:rsidRPr="00CE28C1">
        <w:rPr>
          <w:rFonts w:cs="B Zar" w:hint="cs"/>
          <w:rtl/>
          <w:lang w:bidi="fa-IR"/>
        </w:rPr>
        <w:t xml:space="preserve"> الکتروليز، پودر روي، باطري، زمان تخليه.</w:t>
      </w:r>
    </w:p>
    <w:p w:rsidR="00D95C3C" w:rsidRPr="00CE28C1" w:rsidRDefault="00D95C3C" w:rsidP="00D95C3C">
      <w:pPr>
        <w:pStyle w:val="Ctrl2"/>
        <w:rPr>
          <w:rFonts w:cs="B Zar"/>
          <w:rtl/>
        </w:rPr>
      </w:pPr>
      <w:r w:rsidRPr="00CE28C1">
        <w:rPr>
          <w:rFonts w:cs="B Zar" w:hint="cs"/>
          <w:rtl/>
        </w:rPr>
        <w:t>مقدمه</w:t>
      </w:r>
    </w:p>
    <w:p w:rsidR="00D95C3C" w:rsidRPr="00CE28C1" w:rsidRDefault="00D95C3C" w:rsidP="00D95C3C">
      <w:pPr>
        <w:pStyle w:val="Ctrl0"/>
        <w:rPr>
          <w:rFonts w:cs="B Zar"/>
          <w:rtl/>
          <w:lang w:bidi="fa-IR"/>
        </w:rPr>
      </w:pPr>
      <w:r w:rsidRPr="00CE28C1">
        <w:rPr>
          <w:rFonts w:cs="B Zar" w:hint="cs"/>
          <w:rtl/>
          <w:lang w:bidi="fa-IR"/>
        </w:rPr>
        <w:t>فلز روي سال</w:t>
      </w:r>
      <w:r w:rsidRPr="00CE28C1">
        <w:rPr>
          <w:rFonts w:cs="B Zar"/>
          <w:rtl/>
          <w:lang w:bidi="fa-IR"/>
        </w:rPr>
        <w:softHyphen/>
      </w:r>
      <w:r w:rsidRPr="00CE28C1">
        <w:rPr>
          <w:rFonts w:cs="B Zar" w:hint="cs"/>
          <w:rtl/>
          <w:lang w:bidi="fa-IR"/>
        </w:rPr>
        <w:t>ها ماده</w:t>
      </w:r>
      <w:r w:rsidRPr="00CE28C1">
        <w:rPr>
          <w:rFonts w:cs="B Zar"/>
          <w:rtl/>
          <w:lang w:bidi="fa-IR"/>
        </w:rPr>
        <w:softHyphen/>
      </w:r>
      <w:r w:rsidRPr="00CE28C1">
        <w:rPr>
          <w:rFonts w:cs="B Zar" w:hint="cs"/>
          <w:rtl/>
          <w:lang w:bidi="fa-IR"/>
        </w:rPr>
        <w:t>اي جذاب براي صنايع باطري بوده است. اين ماده عمدتا در باطري</w:t>
      </w:r>
      <w:r w:rsidRPr="00CE28C1">
        <w:rPr>
          <w:rFonts w:cs="B Zar"/>
          <w:rtl/>
          <w:lang w:bidi="fa-IR"/>
        </w:rPr>
        <w:softHyphen/>
      </w:r>
      <w:r w:rsidRPr="00CE28C1">
        <w:rPr>
          <w:rFonts w:cs="B Zar" w:hint="cs"/>
          <w:rtl/>
          <w:lang w:bidi="fa-IR"/>
        </w:rPr>
        <w:t>هاي قليايي به عنوان آند به کار گرفته شده است [1و2]. فلز روي انرژي ويژه بالا و قيمت نسبتاً ارزاني دارد. همچنين مشکلات زيست محيطي آن نسبت به بسياري از ديگر مواد مورد استفاده در باطري</w:t>
      </w:r>
      <w:r w:rsidRPr="00CE28C1">
        <w:rPr>
          <w:rFonts w:cs="B Zar"/>
          <w:rtl/>
          <w:lang w:bidi="fa-IR"/>
        </w:rPr>
        <w:softHyphen/>
      </w:r>
      <w:r w:rsidRPr="00CE28C1">
        <w:rPr>
          <w:rFonts w:cs="B Zar" w:hint="cs"/>
          <w:rtl/>
          <w:lang w:bidi="fa-IR"/>
        </w:rPr>
        <w:t>ها (نظير سرب، کادميوم و جيوه) کم</w:t>
      </w:r>
      <w:r w:rsidRPr="00CE28C1">
        <w:rPr>
          <w:rFonts w:cs="B Zar"/>
          <w:rtl/>
          <w:lang w:bidi="fa-IR"/>
        </w:rPr>
        <w:softHyphen/>
      </w:r>
      <w:r w:rsidRPr="00CE28C1">
        <w:rPr>
          <w:rFonts w:cs="B Zar" w:hint="cs"/>
          <w:rtl/>
          <w:lang w:bidi="fa-IR"/>
        </w:rPr>
        <w:t>تر است [</w:t>
      </w:r>
      <w:r>
        <w:rPr>
          <w:rFonts w:cs="B Zar" w:hint="cs"/>
          <w:rtl/>
          <w:lang w:bidi="fa-IR"/>
        </w:rPr>
        <w:t>3</w:t>
      </w:r>
      <w:r w:rsidRPr="00CE28C1">
        <w:rPr>
          <w:rFonts w:cs="B Zar" w:hint="cs"/>
          <w:rtl/>
          <w:lang w:bidi="fa-IR"/>
        </w:rPr>
        <w:t>و</w:t>
      </w:r>
      <w:r>
        <w:rPr>
          <w:rFonts w:cs="B Zar" w:hint="cs"/>
          <w:rtl/>
          <w:lang w:bidi="fa-IR"/>
        </w:rPr>
        <w:t>4</w:t>
      </w:r>
      <w:r w:rsidRPr="00CE28C1">
        <w:rPr>
          <w:rFonts w:cs="B Zar" w:hint="cs"/>
          <w:rtl/>
          <w:lang w:bidi="fa-IR"/>
        </w:rPr>
        <w:t>]. يک عامل مهم در محدود سازي اين کاربرد مشکل خوردگي بوده است. براي کاهش اين مشکل از مقدار اندک افزودني</w:t>
      </w:r>
      <w:r w:rsidRPr="00CE28C1">
        <w:rPr>
          <w:rFonts w:cs="B Zar"/>
          <w:rtl/>
          <w:lang w:bidi="fa-IR"/>
        </w:rPr>
        <w:softHyphen/>
      </w:r>
      <w:r w:rsidRPr="00CE28C1">
        <w:rPr>
          <w:rFonts w:cs="B Zar" w:hint="cs"/>
          <w:rtl/>
          <w:lang w:bidi="fa-IR"/>
        </w:rPr>
        <w:t>هايي نظير اکسيد جيوه استفاده مي</w:t>
      </w:r>
      <w:r w:rsidRPr="00CE28C1">
        <w:rPr>
          <w:rFonts w:cs="B Zar" w:hint="cs"/>
          <w:rtl/>
          <w:lang w:bidi="fa-IR"/>
        </w:rPr>
        <w:softHyphen/>
        <w:t>شود [</w:t>
      </w:r>
      <w:r>
        <w:rPr>
          <w:rFonts w:cs="B Zar" w:hint="cs"/>
          <w:rtl/>
          <w:lang w:bidi="fa-IR"/>
        </w:rPr>
        <w:t>5</w:t>
      </w:r>
      <w:r w:rsidRPr="00CE28C1">
        <w:rPr>
          <w:rFonts w:cs="B Zar" w:hint="cs"/>
          <w:rtl/>
          <w:lang w:bidi="fa-IR"/>
        </w:rPr>
        <w:t>]. تلاش</w:t>
      </w:r>
      <w:r w:rsidRPr="00CE28C1">
        <w:rPr>
          <w:rFonts w:cs="B Zar"/>
          <w:rtl/>
          <w:lang w:bidi="fa-IR"/>
        </w:rPr>
        <w:softHyphen/>
      </w:r>
      <w:r w:rsidRPr="00CE28C1">
        <w:rPr>
          <w:rFonts w:cs="B Zar" w:hint="cs"/>
          <w:rtl/>
          <w:lang w:bidi="fa-IR"/>
        </w:rPr>
        <w:t>هاي ديگري نيز انجام شده تا با استفاده از لايه</w:t>
      </w:r>
      <w:r w:rsidRPr="00CE28C1">
        <w:rPr>
          <w:rFonts w:cs="B Zar"/>
          <w:rtl/>
          <w:lang w:bidi="fa-IR"/>
        </w:rPr>
        <w:softHyphen/>
      </w:r>
      <w:r w:rsidRPr="00CE28C1">
        <w:rPr>
          <w:rFonts w:cs="B Zar" w:hint="cs"/>
          <w:rtl/>
          <w:lang w:bidi="fa-IR"/>
        </w:rPr>
        <w:t>اي از عناصر نادر خاکي رفتار خوردگي روي در باطري را بهبود بخشند [</w:t>
      </w:r>
      <w:r>
        <w:rPr>
          <w:rFonts w:cs="B Zar" w:hint="cs"/>
          <w:rtl/>
          <w:lang w:bidi="fa-IR"/>
        </w:rPr>
        <w:t>6</w:t>
      </w:r>
      <w:r w:rsidRPr="00CE28C1">
        <w:rPr>
          <w:rFonts w:cs="B Zar" w:hint="cs"/>
          <w:rtl/>
          <w:lang w:bidi="fa-IR"/>
        </w:rPr>
        <w:t>و</w:t>
      </w:r>
      <w:r>
        <w:rPr>
          <w:rFonts w:cs="B Zar" w:hint="cs"/>
          <w:rtl/>
          <w:lang w:bidi="fa-IR"/>
        </w:rPr>
        <w:t>7</w:t>
      </w:r>
      <w:r w:rsidRPr="00CE28C1">
        <w:rPr>
          <w:rFonts w:cs="B Zar" w:hint="cs"/>
          <w:rtl/>
          <w:lang w:bidi="fa-IR"/>
        </w:rPr>
        <w:t>].</w:t>
      </w:r>
    </w:p>
    <w:p w:rsidR="00D95C3C" w:rsidRPr="00CE28C1" w:rsidRDefault="00D95C3C" w:rsidP="00D95C3C">
      <w:pPr>
        <w:pStyle w:val="Ctrl0"/>
        <w:rPr>
          <w:rFonts w:cs="B Zar"/>
          <w:rtl/>
          <w:lang w:bidi="fa-IR"/>
        </w:rPr>
      </w:pPr>
      <w:r w:rsidRPr="00CE28C1">
        <w:rPr>
          <w:rFonts w:cs="B Zar" w:hint="cs"/>
          <w:rtl/>
          <w:lang w:bidi="fa-IR"/>
        </w:rPr>
        <w:lastRenderedPageBreak/>
        <w:t>مواد گوناگوني در باطري هاي روي به عنوان کاتد استفاده شده</w:t>
      </w:r>
      <w:r w:rsidRPr="00CE28C1">
        <w:rPr>
          <w:rFonts w:cs="B Zar"/>
          <w:rtl/>
          <w:lang w:bidi="fa-IR"/>
        </w:rPr>
        <w:softHyphen/>
      </w:r>
      <w:r w:rsidRPr="00CE28C1">
        <w:rPr>
          <w:rFonts w:cs="B Zar" w:hint="cs"/>
          <w:rtl/>
          <w:lang w:bidi="fa-IR"/>
        </w:rPr>
        <w:t xml:space="preserve">اند. برخي کاتد هاي عمده عبارتند از </w:t>
      </w:r>
      <w:r w:rsidRPr="00CE28C1">
        <w:rPr>
          <w:rFonts w:cs="B Zar"/>
          <w:lang w:bidi="fa-IR"/>
        </w:rPr>
        <w:t>NiOOH</w:t>
      </w:r>
      <w:r w:rsidRPr="00CE28C1">
        <w:rPr>
          <w:rFonts w:cs="B Zar" w:hint="cs"/>
          <w:rtl/>
          <w:lang w:bidi="fa-IR"/>
        </w:rPr>
        <w:t xml:space="preserve"> [</w:t>
      </w:r>
      <w:r>
        <w:rPr>
          <w:rFonts w:cs="B Zar" w:hint="cs"/>
          <w:rtl/>
          <w:lang w:bidi="fa-IR"/>
        </w:rPr>
        <w:t>8</w:t>
      </w:r>
      <w:r w:rsidRPr="00CE28C1">
        <w:rPr>
          <w:rFonts w:cs="B Zar" w:hint="cs"/>
          <w:rtl/>
          <w:lang w:bidi="fa-IR"/>
        </w:rPr>
        <w:t xml:space="preserve">]، </w:t>
      </w:r>
      <w:r w:rsidRPr="00CE28C1">
        <w:rPr>
          <w:rFonts w:cs="B Zar"/>
          <w:lang w:bidi="fa-IR"/>
        </w:rPr>
        <w:t>MnO</w:t>
      </w:r>
      <w:r w:rsidRPr="00CE28C1">
        <w:rPr>
          <w:rFonts w:cs="B Zar"/>
          <w:vertAlign w:val="subscript"/>
          <w:lang w:bidi="fa-IR"/>
        </w:rPr>
        <w:t>2</w:t>
      </w:r>
      <w:r w:rsidRPr="00CE28C1">
        <w:rPr>
          <w:rFonts w:cs="B Zar" w:hint="cs"/>
          <w:rtl/>
          <w:lang w:bidi="fa-IR"/>
        </w:rPr>
        <w:t xml:space="preserve"> [</w:t>
      </w:r>
      <w:r>
        <w:rPr>
          <w:rFonts w:cs="B Zar" w:hint="cs"/>
          <w:rtl/>
          <w:lang w:bidi="fa-IR"/>
        </w:rPr>
        <w:t>9</w:t>
      </w:r>
      <w:r w:rsidRPr="00CE28C1">
        <w:rPr>
          <w:rFonts w:cs="B Zar" w:hint="cs"/>
          <w:rtl/>
          <w:lang w:bidi="fa-IR"/>
        </w:rPr>
        <w:t>و</w:t>
      </w:r>
      <w:r>
        <w:rPr>
          <w:rFonts w:cs="B Zar" w:hint="cs"/>
          <w:rtl/>
          <w:lang w:bidi="fa-IR"/>
        </w:rPr>
        <w:t>10</w:t>
      </w:r>
      <w:r w:rsidRPr="00CE28C1">
        <w:rPr>
          <w:rFonts w:cs="B Zar" w:hint="cs"/>
          <w:rtl/>
          <w:lang w:bidi="fa-IR"/>
        </w:rPr>
        <w:t>] و ترکيبات اکسيد نقره [</w:t>
      </w:r>
      <w:r>
        <w:rPr>
          <w:rFonts w:cs="B Zar" w:hint="cs"/>
          <w:rtl/>
          <w:lang w:bidi="fa-IR"/>
        </w:rPr>
        <w:t>11</w:t>
      </w:r>
      <w:r w:rsidRPr="00CE28C1">
        <w:rPr>
          <w:rFonts w:cs="B Zar" w:hint="cs"/>
          <w:rtl/>
          <w:lang w:bidi="fa-IR"/>
        </w:rPr>
        <w:t>و</w:t>
      </w:r>
      <w:r>
        <w:rPr>
          <w:rFonts w:cs="B Zar" w:hint="cs"/>
          <w:rtl/>
          <w:lang w:bidi="fa-IR"/>
        </w:rPr>
        <w:t>12</w:t>
      </w:r>
      <w:r w:rsidRPr="00CE28C1">
        <w:rPr>
          <w:rFonts w:cs="B Zar" w:hint="cs"/>
          <w:rtl/>
          <w:lang w:bidi="fa-IR"/>
        </w:rPr>
        <w:t>]. نقره به صورت</w:t>
      </w:r>
      <w:r w:rsidRPr="00CE28C1">
        <w:rPr>
          <w:rFonts w:cs="B Zar"/>
          <w:rtl/>
          <w:lang w:bidi="fa-IR"/>
        </w:rPr>
        <w:softHyphen/>
      </w:r>
      <w:r w:rsidRPr="00CE28C1">
        <w:rPr>
          <w:rFonts w:cs="B Zar" w:hint="cs"/>
          <w:rtl/>
          <w:lang w:bidi="fa-IR"/>
        </w:rPr>
        <w:t xml:space="preserve">هاي مختلفي همچون </w:t>
      </w:r>
      <w:r w:rsidRPr="00CE28C1">
        <w:rPr>
          <w:rFonts w:cs="B Zar"/>
          <w:lang w:bidi="fa-IR"/>
        </w:rPr>
        <w:t>Ag</w:t>
      </w:r>
      <w:r w:rsidRPr="00CE28C1">
        <w:rPr>
          <w:rFonts w:cs="B Zar" w:hint="cs"/>
          <w:rtl/>
          <w:lang w:bidi="fa-IR"/>
        </w:rPr>
        <w:t xml:space="preserve">، </w:t>
      </w:r>
      <w:r w:rsidRPr="00CE28C1">
        <w:rPr>
          <w:rFonts w:cs="B Zar"/>
          <w:lang w:bidi="fa-IR"/>
        </w:rPr>
        <w:t>AgO</w:t>
      </w:r>
      <w:r w:rsidRPr="00CE28C1">
        <w:rPr>
          <w:rFonts w:cs="B Zar" w:hint="cs"/>
          <w:rtl/>
          <w:lang w:bidi="fa-IR"/>
        </w:rPr>
        <w:t xml:space="preserve">، </w:t>
      </w:r>
      <w:r w:rsidRPr="00CE28C1">
        <w:rPr>
          <w:rFonts w:cs="B Zar"/>
          <w:lang w:bidi="fa-IR"/>
        </w:rPr>
        <w:t>Ag</w:t>
      </w:r>
      <w:r w:rsidRPr="00CE28C1">
        <w:rPr>
          <w:rFonts w:cs="B Zar"/>
          <w:vertAlign w:val="subscript"/>
          <w:lang w:bidi="fa-IR"/>
        </w:rPr>
        <w:t>2</w:t>
      </w:r>
      <w:r w:rsidRPr="00CE28C1">
        <w:rPr>
          <w:rFonts w:cs="B Zar"/>
          <w:lang w:bidi="fa-IR"/>
        </w:rPr>
        <w:t>O</w:t>
      </w:r>
      <w:r w:rsidRPr="00CE28C1">
        <w:rPr>
          <w:rFonts w:cs="B Zar" w:hint="cs"/>
          <w:rtl/>
          <w:lang w:bidi="fa-IR"/>
        </w:rPr>
        <w:t xml:space="preserve"> و نيز مخلوطي از آنها به کار گرفته شده است [</w:t>
      </w:r>
      <w:r>
        <w:rPr>
          <w:rFonts w:cs="B Zar" w:hint="cs"/>
          <w:rtl/>
          <w:lang w:bidi="fa-IR"/>
        </w:rPr>
        <w:t>13</w:t>
      </w:r>
      <w:r w:rsidRPr="00CE28C1">
        <w:rPr>
          <w:rFonts w:cs="B Zar" w:hint="cs"/>
          <w:rtl/>
          <w:lang w:bidi="fa-IR"/>
        </w:rPr>
        <w:t>]. باطري هاي روي-اکسيد نقره بيشترين مقدار انرژي بر واحد جرم را در بين ديگر باطري هاي تجاري قلياي ثانويه (قابل شارژ مجدد) دارند [</w:t>
      </w:r>
      <w:r>
        <w:rPr>
          <w:rFonts w:cs="B Zar" w:hint="cs"/>
          <w:rtl/>
          <w:lang w:bidi="fa-IR"/>
        </w:rPr>
        <w:t>14</w:t>
      </w:r>
      <w:r w:rsidRPr="00CE28C1">
        <w:rPr>
          <w:rFonts w:cs="B Zar" w:hint="cs"/>
          <w:rtl/>
          <w:lang w:bidi="fa-IR"/>
        </w:rPr>
        <w:t xml:space="preserve">]. </w:t>
      </w:r>
    </w:p>
    <w:p w:rsidR="00D95C3C" w:rsidRPr="00CE28C1" w:rsidRDefault="00D95C3C" w:rsidP="00D95C3C">
      <w:pPr>
        <w:pStyle w:val="Ctrl0"/>
        <w:rPr>
          <w:rFonts w:cs="B Zar"/>
          <w:rtl/>
          <w:lang w:bidi="fa-IR"/>
        </w:rPr>
      </w:pPr>
      <w:r w:rsidRPr="00CE28C1">
        <w:rPr>
          <w:rFonts w:cs="B Zar" w:hint="cs"/>
          <w:rtl/>
          <w:lang w:bidi="fa-IR"/>
        </w:rPr>
        <w:t>به کاربردن مواد فعال در باطري به صورت پودري موجب افزايش سطح موثر و واکنش دهنده</w:t>
      </w:r>
      <w:r w:rsidRPr="00CE28C1">
        <w:rPr>
          <w:rFonts w:cs="B Zar"/>
          <w:rtl/>
          <w:lang w:bidi="fa-IR"/>
        </w:rPr>
        <w:softHyphen/>
      </w:r>
      <w:r w:rsidRPr="00CE28C1">
        <w:rPr>
          <w:rFonts w:cs="B Zar" w:hint="cs"/>
          <w:rtl/>
          <w:lang w:bidi="fa-IR"/>
        </w:rPr>
        <w:t>ي آنها مي</w:t>
      </w:r>
      <w:r w:rsidRPr="00CE28C1">
        <w:rPr>
          <w:rFonts w:cs="B Zar" w:hint="cs"/>
          <w:rtl/>
          <w:lang w:bidi="fa-IR"/>
        </w:rPr>
        <w:softHyphen/>
        <w:t>شود، که به کاهش وزن باطري کمک مي</w:t>
      </w:r>
      <w:r w:rsidRPr="00CE28C1">
        <w:rPr>
          <w:rFonts w:cs="B Zar" w:hint="cs"/>
          <w:rtl/>
          <w:lang w:bidi="fa-IR"/>
        </w:rPr>
        <w:softHyphen/>
        <w:t>کند. علاوه بر اين براي دست يابي به فعاليت شيميايي بيشتر و پلاريزه شدن کمتر، بهتر است باطري در چگالي جريان کمتري کارکند. سطح موثر بيشتر موجب کاهش جريان عبوري از واحد سطح خواهد شد [</w:t>
      </w:r>
      <w:r>
        <w:rPr>
          <w:rFonts w:cs="B Zar" w:hint="cs"/>
          <w:rtl/>
          <w:lang w:bidi="fa-IR"/>
        </w:rPr>
        <w:t>15</w:t>
      </w:r>
      <w:r w:rsidRPr="00CE28C1">
        <w:rPr>
          <w:rFonts w:cs="B Zar" w:hint="cs"/>
          <w:rtl/>
          <w:lang w:bidi="fa-IR"/>
        </w:rPr>
        <w:t>]. پودر روي را مي</w:t>
      </w:r>
      <w:r w:rsidRPr="00CE28C1">
        <w:rPr>
          <w:rFonts w:cs="B Zar"/>
          <w:rtl/>
          <w:lang w:bidi="fa-IR"/>
        </w:rPr>
        <w:softHyphen/>
      </w:r>
      <w:r w:rsidRPr="00CE28C1">
        <w:rPr>
          <w:rFonts w:cs="B Zar" w:hint="cs"/>
          <w:rtl/>
          <w:lang w:bidi="fa-IR"/>
        </w:rPr>
        <w:t>توان به روشهايي چون اتميزه کردن و الکتروليز توليد کرد. پودر روي الکتروليتي با مورفولوژي دندريتي و متخلخل، سطح ويژه بيشتري را فراهم مي</w:t>
      </w:r>
      <w:r w:rsidRPr="00CE28C1">
        <w:rPr>
          <w:rFonts w:cs="B Zar" w:hint="cs"/>
          <w:rtl/>
          <w:lang w:bidi="fa-IR"/>
        </w:rPr>
        <w:softHyphen/>
        <w:t xml:space="preserve">کند و </w:t>
      </w:r>
      <w:r>
        <w:rPr>
          <w:rFonts w:cs="B Zar" w:hint="cs"/>
          <w:rtl/>
          <w:lang w:bidi="fa-IR"/>
        </w:rPr>
        <w:t>براي</w:t>
      </w:r>
      <w:r w:rsidRPr="00CE28C1">
        <w:rPr>
          <w:rFonts w:cs="B Zar" w:hint="cs"/>
          <w:rtl/>
          <w:lang w:bidi="fa-IR"/>
        </w:rPr>
        <w:t xml:space="preserve"> کاربرد در باطري مناسب تر است. هدف ما در اين پژوهش بررسي تاثير شرايط توليد پودر روي الکتروليتي بر مورفولوژي پودر حاصل و</w:t>
      </w:r>
      <w:r>
        <w:rPr>
          <w:rFonts w:cs="B Zar" w:hint="cs"/>
          <w:rtl/>
          <w:lang w:bidi="fa-IR"/>
        </w:rPr>
        <w:t xml:space="preserve"> در</w:t>
      </w:r>
      <w:r w:rsidRPr="00CE28C1">
        <w:rPr>
          <w:rFonts w:cs="B Zar" w:hint="cs"/>
          <w:rtl/>
          <w:lang w:bidi="fa-IR"/>
        </w:rPr>
        <w:t xml:space="preserve"> نتيجه بر عملکرد باطري تولي</w:t>
      </w:r>
      <w:r>
        <w:rPr>
          <w:rFonts w:cs="B Zar" w:hint="cs"/>
          <w:rtl/>
          <w:lang w:bidi="fa-IR"/>
        </w:rPr>
        <w:t xml:space="preserve">د </w:t>
      </w:r>
      <w:r w:rsidRPr="00CE28C1">
        <w:rPr>
          <w:rFonts w:cs="B Zar" w:hint="cs"/>
          <w:rtl/>
          <w:lang w:bidi="fa-IR"/>
        </w:rPr>
        <w:t>شده است.</w:t>
      </w:r>
    </w:p>
    <w:p w:rsidR="00D95C3C" w:rsidRPr="00CE28C1" w:rsidRDefault="00D95C3C" w:rsidP="00D95C3C">
      <w:pPr>
        <w:jc w:val="both"/>
        <w:rPr>
          <w:rFonts w:cs="B Zar"/>
          <w:rtl/>
          <w:lang w:bidi="fa-IR"/>
        </w:rPr>
      </w:pPr>
    </w:p>
    <w:p w:rsidR="00D95C3C" w:rsidRPr="00CE28C1" w:rsidRDefault="00D95C3C" w:rsidP="00D95C3C">
      <w:pPr>
        <w:pStyle w:val="Ctrl2"/>
        <w:rPr>
          <w:rFonts w:cs="B Zar"/>
          <w:rtl/>
          <w:lang w:val="en-GB"/>
        </w:rPr>
      </w:pPr>
      <w:r w:rsidRPr="00CE28C1">
        <w:rPr>
          <w:rFonts w:cs="B Zar" w:hint="cs"/>
          <w:rtl/>
          <w:lang w:val="en-GB"/>
        </w:rPr>
        <w:t>مواد و روش تحقيق</w:t>
      </w:r>
    </w:p>
    <w:p w:rsidR="00D95C3C" w:rsidRPr="00CE28C1" w:rsidRDefault="00D95C3C" w:rsidP="00D95C3C">
      <w:pPr>
        <w:pStyle w:val="Ctrl0"/>
        <w:rPr>
          <w:rFonts w:cs="B Zar"/>
          <w:rtl/>
          <w:lang w:bidi="fa-IR"/>
        </w:rPr>
      </w:pPr>
      <w:r w:rsidRPr="00CE28C1">
        <w:rPr>
          <w:rFonts w:cs="B Zar" w:hint="cs"/>
          <w:rtl/>
          <w:lang w:bidi="fa-IR"/>
        </w:rPr>
        <w:t>پودر روي الکتروليتي با الکتروليز محلول قليايي زينکات تولي</w:t>
      </w:r>
      <w:r>
        <w:rPr>
          <w:rFonts w:cs="B Zar" w:hint="cs"/>
          <w:rtl/>
          <w:lang w:bidi="fa-IR"/>
        </w:rPr>
        <w:t xml:space="preserve">د شد. در اين پژوهش </w:t>
      </w:r>
      <w:r w:rsidRPr="00CE28C1">
        <w:rPr>
          <w:rFonts w:cs="B Zar" w:hint="cs"/>
          <w:rtl/>
          <w:lang w:bidi="fa-IR"/>
        </w:rPr>
        <w:t xml:space="preserve">غلظت يون زينکات و غلظت الکتروليت </w:t>
      </w:r>
      <w:r w:rsidRPr="00CE28C1">
        <w:rPr>
          <w:rFonts w:cs="B Zar"/>
          <w:rtl/>
          <w:lang w:bidi="fa-IR"/>
        </w:rPr>
        <w:t>(</w:t>
      </w:r>
      <w:r w:rsidRPr="00CE28C1">
        <w:rPr>
          <w:rFonts w:cs="B Zar"/>
          <w:lang w:bidi="fa-IR"/>
        </w:rPr>
        <w:t>KOH</w:t>
      </w:r>
      <w:r w:rsidRPr="00CE28C1">
        <w:rPr>
          <w:rFonts w:cs="B Zar"/>
          <w:rtl/>
          <w:lang w:bidi="fa-IR"/>
        </w:rPr>
        <w:t xml:space="preserve">) </w:t>
      </w:r>
      <w:r w:rsidRPr="00CE28C1">
        <w:rPr>
          <w:rFonts w:cs="B Zar" w:hint="cs"/>
          <w:rtl/>
          <w:lang w:bidi="fa-IR"/>
        </w:rPr>
        <w:t>به عنوان متغيير در نظر گرفته شده و ديگر پارامترها</w:t>
      </w:r>
      <w:r>
        <w:rPr>
          <w:rFonts w:cs="B Zar" w:hint="cs"/>
          <w:rtl/>
          <w:lang w:bidi="fa-IR"/>
        </w:rPr>
        <w:t>ي فرايند</w:t>
      </w:r>
      <w:r w:rsidRPr="00CE28C1">
        <w:rPr>
          <w:rFonts w:cs="B Zar" w:hint="cs"/>
          <w:rtl/>
          <w:lang w:bidi="fa-IR"/>
        </w:rPr>
        <w:t xml:space="preserve"> ثابت نگاه داشته شدند. شرايط آزمايش</w:t>
      </w:r>
      <w:r w:rsidRPr="00CE28C1">
        <w:rPr>
          <w:rFonts w:cs="B Zar"/>
          <w:rtl/>
          <w:lang w:bidi="fa-IR"/>
        </w:rPr>
        <w:softHyphen/>
      </w:r>
      <w:r w:rsidRPr="00CE28C1">
        <w:rPr>
          <w:rFonts w:cs="B Zar" w:hint="cs"/>
          <w:rtl/>
          <w:lang w:bidi="fa-IR"/>
        </w:rPr>
        <w:t>ها در جدول (1) آورده شده است. ابتدا هيدروکسيد پتاسيم در آب مقطر حل شده و سه محلول با غلظت هاي 7، 9 و 11 مولار بدست آمد. سپس در هريک از آنها سه مقدار توزين شده اکسيد روي را حل نموده و غلظت هاي 5/0 ، 8/0 و 2/1 مولار بدست آمد.</w:t>
      </w:r>
      <w:r>
        <w:rPr>
          <w:rFonts w:cs="B Zar" w:hint="cs"/>
          <w:rtl/>
          <w:lang w:bidi="fa-IR"/>
        </w:rPr>
        <w:t xml:space="preserve"> به اين صورت از 9 حمام مختلف براي الكتروليز استفاده شد.</w:t>
      </w:r>
      <w:r w:rsidRPr="00CE28C1">
        <w:rPr>
          <w:rFonts w:cs="B Zar" w:hint="cs"/>
          <w:rtl/>
          <w:lang w:bidi="fa-IR"/>
        </w:rPr>
        <w:t xml:space="preserve"> اکسيد روي با انحلال محلول هيدروکسيد پتاسيم مطابق واکنش (1) توليد يون زينکات مي</w:t>
      </w:r>
      <w:r w:rsidRPr="00CE28C1">
        <w:rPr>
          <w:rFonts w:cs="B Zar" w:hint="cs"/>
          <w:rtl/>
          <w:lang w:bidi="fa-IR"/>
        </w:rPr>
        <w:softHyphen/>
        <w:t>نمايد</w:t>
      </w:r>
      <w:r w:rsidRPr="00CE28C1">
        <w:rPr>
          <w:rFonts w:cs="B Zar"/>
          <w:lang w:bidi="fa-IR"/>
        </w:rPr>
        <w:t xml:space="preserve"> </w:t>
      </w:r>
      <w:r w:rsidRPr="00CE28C1">
        <w:rPr>
          <w:rFonts w:cs="B Zar" w:hint="cs"/>
          <w:rtl/>
          <w:lang w:bidi="fa-IR"/>
        </w:rPr>
        <w:t>[</w:t>
      </w:r>
      <w:r>
        <w:rPr>
          <w:rFonts w:cs="B Zar" w:hint="cs"/>
          <w:rtl/>
          <w:lang w:bidi="fa-IR"/>
        </w:rPr>
        <w:t>16</w:t>
      </w:r>
      <w:r w:rsidRPr="00CE28C1">
        <w:rPr>
          <w:rFonts w:cs="B Zar" w:hint="cs"/>
          <w:rtl/>
          <w:lang w:bidi="fa-IR"/>
        </w:rPr>
        <w:t>].</w:t>
      </w:r>
    </w:p>
    <w:p w:rsidR="00D95C3C" w:rsidRPr="00D07090" w:rsidRDefault="00D95C3C" w:rsidP="00D95C3C">
      <w:pPr>
        <w:pStyle w:val="Ctrl8andCtrlTab"/>
        <w:numPr>
          <w:ilvl w:val="0"/>
          <w:numId w:val="0"/>
        </w:numPr>
        <w:bidi w:val="0"/>
        <w:rPr>
          <w:rFonts w:cs="Times New Roman"/>
          <w:rtl/>
        </w:rPr>
      </w:pPr>
      <w:r>
        <w:object w:dxaOrig="4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0.25pt" o:ole="">
            <v:imagedata r:id="rId10" o:title=""/>
          </v:shape>
          <o:OLEObject Type="Embed" ProgID="Equation.3" ShapeID="_x0000_i1025" DrawAspect="Content" ObjectID="_1352971155" r:id="rId11"/>
        </w:object>
      </w:r>
    </w:p>
    <w:p w:rsidR="00D95C3C" w:rsidRPr="00CE28C1" w:rsidRDefault="00D95C3C" w:rsidP="00D95C3C">
      <w:pPr>
        <w:pStyle w:val="Ctrl0"/>
        <w:rPr>
          <w:rFonts w:cs="B Zar"/>
          <w:rtl/>
          <w:lang w:bidi="fa-IR"/>
        </w:rPr>
      </w:pPr>
      <w:r w:rsidRPr="00CE28C1">
        <w:rPr>
          <w:rFonts w:cs="B Zar" w:hint="cs"/>
          <w:rtl/>
          <w:lang w:bidi="fa-IR"/>
        </w:rPr>
        <w:t xml:space="preserve">پس از حل سازي کامل، محلول ها از کاغذ صافي عبور داده شدند. در سلول الکتروليز از يک صفحه روي به عنوان کاتد مرکزي استفاده شد و دو صفحه نيکل به عنوان آند در طرفين آن قرار داده شدند. چگالي جريان ثابت </w:t>
      </w:r>
      <w:r w:rsidRPr="00CE28C1">
        <w:rPr>
          <w:rFonts w:cs="B Zar"/>
          <w:lang w:bidi="fa-IR"/>
        </w:rPr>
        <w:t>A/m</w:t>
      </w:r>
      <w:r w:rsidRPr="00CE28C1">
        <w:rPr>
          <w:rFonts w:cs="B Zar"/>
          <w:vertAlign w:val="superscript"/>
          <w:lang w:bidi="fa-IR"/>
        </w:rPr>
        <w:t>2</w:t>
      </w:r>
      <w:r w:rsidRPr="00CE28C1">
        <w:rPr>
          <w:rFonts w:cs="B Zar" w:hint="cs"/>
          <w:rtl/>
          <w:lang w:bidi="fa-IR"/>
        </w:rPr>
        <w:t>2500 در کليه آزمايش ها مورد استفاده قرار گرفت. دما بين 25 تا 30 درجه سلسيوس ثابت نگاه داشته شد. به اين منظور بشر محتوي حمام الکتروليز در ظرف آب بزرگتري قرار گرفت که در صورت لزوم به آن قطعات يخ اضافه مي</w:t>
      </w:r>
      <w:r w:rsidRPr="00CE28C1">
        <w:rPr>
          <w:rFonts w:cs="B Zar"/>
          <w:rtl/>
          <w:lang w:bidi="fa-IR"/>
        </w:rPr>
        <w:softHyphen/>
      </w:r>
      <w:r w:rsidRPr="00CE28C1">
        <w:rPr>
          <w:rFonts w:cs="B Zar" w:hint="cs"/>
          <w:rtl/>
          <w:lang w:bidi="fa-IR"/>
        </w:rPr>
        <w:t>شد</w:t>
      </w:r>
      <w:r>
        <w:rPr>
          <w:rFonts w:cs="B Zar" w:hint="cs"/>
          <w:rtl/>
          <w:lang w:bidi="fa-IR"/>
        </w:rPr>
        <w:t xml:space="preserve"> تا حمام خنك شود</w:t>
      </w:r>
      <w:r w:rsidRPr="00CE28C1">
        <w:rPr>
          <w:rFonts w:cs="B Zar" w:hint="cs"/>
          <w:rtl/>
          <w:lang w:bidi="fa-IR"/>
        </w:rPr>
        <w:t>. زمان الکتروليز،</w:t>
      </w:r>
      <w:r>
        <w:rPr>
          <w:rFonts w:cs="B Zar" w:hint="cs"/>
          <w:rtl/>
          <w:lang w:bidi="fa-IR"/>
        </w:rPr>
        <w:t xml:space="preserve"> در تمامي آزمايش‌ها</w:t>
      </w:r>
      <w:r w:rsidRPr="00CE28C1">
        <w:rPr>
          <w:rFonts w:cs="B Zar" w:hint="cs"/>
          <w:rtl/>
          <w:lang w:bidi="fa-IR"/>
        </w:rPr>
        <w:t xml:space="preserve"> يک ساعت در نظر گرفته شد. پس از پايان </w:t>
      </w:r>
      <w:r w:rsidRPr="00CE28C1">
        <w:rPr>
          <w:rFonts w:cs="B Zar" w:hint="cs"/>
          <w:rtl/>
          <w:lang w:bidi="fa-IR"/>
        </w:rPr>
        <w:lastRenderedPageBreak/>
        <w:t>الکتروليز، پودر روي حاصل از کاتد تراشي</w:t>
      </w:r>
      <w:r>
        <w:rPr>
          <w:rFonts w:cs="B Zar" w:hint="cs"/>
          <w:rtl/>
          <w:lang w:bidi="fa-IR"/>
        </w:rPr>
        <w:t>ده شده. پودر حاصل</w:t>
      </w:r>
      <w:r w:rsidRPr="00CE28C1">
        <w:rPr>
          <w:rFonts w:cs="B Zar" w:hint="cs"/>
          <w:rtl/>
          <w:lang w:bidi="fa-IR"/>
        </w:rPr>
        <w:t xml:space="preserve"> مکررا با آب مقطر شستشو داده شد تا تمام قطرات احتمالي الکتروليت از خلل و فرج آن خارج گردند. اين مسئله با افزودن چند قطره معرف فنل فتالئين به آب مورد استفاده براي شستشو</w:t>
      </w:r>
      <w:r>
        <w:rPr>
          <w:rFonts w:cs="B Zar" w:hint="cs"/>
          <w:rtl/>
          <w:lang w:bidi="fa-IR"/>
        </w:rPr>
        <w:t>،</w:t>
      </w:r>
      <w:r w:rsidRPr="00CE28C1">
        <w:rPr>
          <w:rFonts w:cs="B Zar" w:hint="cs"/>
          <w:rtl/>
          <w:lang w:bidi="fa-IR"/>
        </w:rPr>
        <w:t xml:space="preserve"> اثبات مي</w:t>
      </w:r>
      <w:r w:rsidRPr="00CE28C1">
        <w:rPr>
          <w:rFonts w:cs="B Zar" w:hint="cs"/>
          <w:rtl/>
          <w:lang w:bidi="fa-IR"/>
        </w:rPr>
        <w:softHyphen/>
        <w:t>گرديد. پودر ها در دماي 80 درجه سلسيوس خشک گرديدند و در نهايت نمونه هاي پودري با مش 140</w:t>
      </w:r>
      <w:r>
        <w:rPr>
          <w:rFonts w:cs="B Zar" w:hint="cs"/>
          <w:rtl/>
          <w:lang w:bidi="fa-IR"/>
        </w:rPr>
        <w:t>،</w:t>
      </w:r>
      <w:r w:rsidRPr="00CE28C1">
        <w:rPr>
          <w:rFonts w:cs="B Zar" w:hint="cs"/>
          <w:rtl/>
          <w:lang w:bidi="fa-IR"/>
        </w:rPr>
        <w:t xml:space="preserve"> الک شدند. مورفولوژي پودر هاي حاصل توسط </w:t>
      </w:r>
      <w:r w:rsidRPr="00CE28C1">
        <w:rPr>
          <w:rFonts w:cs="B Zar"/>
          <w:lang w:bidi="fa-IR"/>
        </w:rPr>
        <w:t>SEM</w:t>
      </w:r>
      <w:r w:rsidRPr="00CE28C1">
        <w:rPr>
          <w:rFonts w:cs="B Zar" w:hint="cs"/>
          <w:rtl/>
          <w:lang w:bidi="fa-IR"/>
        </w:rPr>
        <w:t xml:space="preserve"> بررسي شد. همچنين سطح ويژه پودر ها به روش </w:t>
      </w:r>
      <w:r w:rsidRPr="00CE28C1">
        <w:rPr>
          <w:rFonts w:cs="B Zar"/>
          <w:lang w:bidi="fa-IR"/>
        </w:rPr>
        <w:t>BET</w:t>
      </w:r>
      <w:r w:rsidRPr="00CE28C1">
        <w:rPr>
          <w:rFonts w:cs="B Zar" w:hint="cs"/>
          <w:rtl/>
          <w:lang w:bidi="fa-IR"/>
        </w:rPr>
        <w:t xml:space="preserve"> توسط جذب سطحي گاز نيتروژن اندازه</w:t>
      </w:r>
      <w:r w:rsidRPr="00CE28C1">
        <w:rPr>
          <w:rFonts w:cs="B Zar" w:hint="cs"/>
          <w:rtl/>
          <w:lang w:bidi="fa-IR"/>
        </w:rPr>
        <w:softHyphen/>
        <w:t>گيري شد.</w:t>
      </w:r>
    </w:p>
    <w:p w:rsidR="00D95C3C" w:rsidRPr="00CE28C1" w:rsidRDefault="00D95C3C" w:rsidP="00D95C3C">
      <w:pPr>
        <w:pStyle w:val="Ctrl0"/>
        <w:rPr>
          <w:rFonts w:cs="B Zar"/>
          <w:rtl/>
          <w:lang w:bidi="fa-IR"/>
        </w:rPr>
      </w:pPr>
      <w:r w:rsidRPr="00CE28C1">
        <w:rPr>
          <w:rFonts w:cs="B Zar" w:hint="cs"/>
          <w:rtl/>
          <w:lang w:bidi="fa-IR"/>
        </w:rPr>
        <w:t xml:space="preserve">به منظور ساخت الکترود روي جهت باطري، ابتدا يک مخلوط پودري تهيه شد. به اين منظور چند گرم پودر روي با مقدار اندکي اکسيد جيوه و ماده همگير </w:t>
      </w:r>
      <w:r w:rsidRPr="00CE28C1">
        <w:rPr>
          <w:rFonts w:cs="B Zar"/>
          <w:lang w:bidi="fa-IR"/>
        </w:rPr>
        <w:t>PVA</w:t>
      </w:r>
      <w:r w:rsidRPr="00CE28C1">
        <w:rPr>
          <w:rFonts w:cs="B Zar" w:hint="cs"/>
          <w:rtl/>
          <w:lang w:bidi="fa-IR"/>
        </w:rPr>
        <w:t xml:space="preserve"> مخلوط گرديده و پرس شد. از هر نمونه پودري دو الکترود به اين صورت تهيه شد که در دو سوي يک الکترود اکسيد نقره قرار گرفت. در بين اين الکترودها محلول هيدروکسيد پتاسيم قرار داده شد و به اين صورت يک سلول باطري تهيه گرديد. سلول به يک دستگاه گيرنده جريان متصل گرديد و عمل تخليه تحت جريان هشت آمپر انجام گرفت. کاهش ولتاژ توسط ولتمتر مشاهده شده و بر حسب زمان تخليه ثبت شد.</w:t>
      </w:r>
    </w:p>
    <w:p w:rsidR="00D95C3C" w:rsidRPr="00CE28C1" w:rsidRDefault="00D95C3C" w:rsidP="00D95C3C">
      <w:pPr>
        <w:pStyle w:val="Ctrl0"/>
        <w:rPr>
          <w:rFonts w:cs="B Zar"/>
          <w:rtl/>
          <w:lang w:bidi="fa-IR"/>
        </w:rPr>
      </w:pPr>
    </w:p>
    <w:p w:rsidR="00D95C3C" w:rsidRPr="00CE28C1" w:rsidRDefault="00D95C3C" w:rsidP="00D95C3C">
      <w:pPr>
        <w:pStyle w:val="Ctrl7"/>
        <w:rPr>
          <w:rFonts w:cs="B Zar"/>
          <w:rtl/>
          <w:lang w:val="en-GB"/>
        </w:rPr>
      </w:pPr>
      <w:r w:rsidRPr="00CE28C1">
        <w:rPr>
          <w:rFonts w:cs="B Zar" w:hint="cs"/>
          <w:rtl/>
          <w:lang w:val="en-GB"/>
        </w:rPr>
        <w:t>غلظت هاي مورد استفاده در حمام توليد پودر روي الکتروليتي به همراه سطح ويژه پودر هاي روي تهيه شده و  زمان تخليه باطري ساخته شده با هر پودر.</w:t>
      </w:r>
    </w:p>
    <w:tbl>
      <w:tblPr>
        <w:tblW w:w="7825" w:type="dxa"/>
        <w:jc w:val="center"/>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0"/>
        <w:gridCol w:w="1355"/>
        <w:gridCol w:w="2172"/>
        <w:gridCol w:w="1446"/>
        <w:gridCol w:w="1372"/>
      </w:tblGrid>
      <w:tr w:rsidR="00D95C3C" w:rsidRPr="00CE28C1" w:rsidTr="00C00DA0">
        <w:trPr>
          <w:trHeight w:val="594"/>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زمان نهايي تخليه</w:t>
            </w:r>
          </w:p>
          <w:p w:rsidR="00D95C3C" w:rsidRPr="00CE28C1" w:rsidRDefault="00D95C3C" w:rsidP="00C00DA0">
            <w:pPr>
              <w:pStyle w:val="a"/>
              <w:jc w:val="center"/>
              <w:rPr>
                <w:rFonts w:cs="B Zar"/>
                <w:sz w:val="24"/>
                <w:szCs w:val="24"/>
              </w:rPr>
            </w:pPr>
            <w:r w:rsidRPr="00CE28C1">
              <w:rPr>
                <w:rFonts w:cs="B Zar" w:hint="cs"/>
                <w:sz w:val="24"/>
                <w:szCs w:val="24"/>
                <w:rtl/>
              </w:rPr>
              <w:t>(دقيقه)</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سطح و</w:t>
            </w:r>
            <w:r w:rsidRPr="00CE28C1">
              <w:rPr>
                <w:rFonts w:cs="B Zar" w:hint="cs"/>
                <w:sz w:val="24"/>
                <w:szCs w:val="24"/>
                <w:rtl/>
                <w:lang w:bidi="fa-IR"/>
              </w:rPr>
              <w:t>ي</w:t>
            </w:r>
            <w:r w:rsidRPr="00CE28C1">
              <w:rPr>
                <w:rFonts w:cs="B Zar" w:hint="cs"/>
                <w:sz w:val="24"/>
                <w:szCs w:val="24"/>
                <w:rtl/>
              </w:rPr>
              <w:t xml:space="preserve">ژه </w:t>
            </w:r>
            <w:r w:rsidRPr="00CE28C1">
              <w:rPr>
                <w:rFonts w:cs="B Zar"/>
                <w:sz w:val="20"/>
              </w:rPr>
              <w:t>(cm</w:t>
            </w:r>
            <w:r w:rsidRPr="00CE28C1">
              <w:rPr>
                <w:rFonts w:cs="B Zar"/>
                <w:sz w:val="20"/>
                <w:vertAlign w:val="superscript"/>
              </w:rPr>
              <w:t>2</w:t>
            </w:r>
            <w:r w:rsidRPr="00CE28C1">
              <w:rPr>
                <w:rFonts w:cs="B Zar"/>
                <w:sz w:val="20"/>
              </w:rPr>
              <w:t>/g)</w:t>
            </w:r>
          </w:p>
        </w:tc>
        <w:tc>
          <w:tcPr>
            <w:tcW w:w="2172" w:type="dxa"/>
            <w:vAlign w:val="center"/>
          </w:tcPr>
          <w:p w:rsidR="00D95C3C" w:rsidRPr="00CE28C1" w:rsidRDefault="00D95C3C" w:rsidP="00C00DA0">
            <w:pPr>
              <w:pStyle w:val="a"/>
              <w:jc w:val="center"/>
              <w:rPr>
                <w:rFonts w:cs="B Zar"/>
                <w:sz w:val="24"/>
                <w:szCs w:val="24"/>
                <w:rtl/>
              </w:rPr>
            </w:pPr>
            <w:r w:rsidRPr="00CE28C1">
              <w:rPr>
                <w:rFonts w:cs="B Zar" w:hint="cs"/>
                <w:sz w:val="24"/>
                <w:szCs w:val="24"/>
                <w:rtl/>
              </w:rPr>
              <w:t>غلظت ه</w:t>
            </w:r>
            <w:r w:rsidRPr="00CE28C1">
              <w:rPr>
                <w:rFonts w:cs="B Zar" w:hint="cs"/>
                <w:sz w:val="24"/>
                <w:szCs w:val="24"/>
                <w:rtl/>
                <w:lang w:bidi="fa-IR"/>
              </w:rPr>
              <w:t>ي</w:t>
            </w:r>
            <w:r w:rsidRPr="00CE28C1">
              <w:rPr>
                <w:rFonts w:cs="B Zar" w:hint="cs"/>
                <w:sz w:val="24"/>
                <w:szCs w:val="24"/>
                <w:rtl/>
              </w:rPr>
              <w:t>دروکس</w:t>
            </w:r>
            <w:r w:rsidRPr="00CE28C1">
              <w:rPr>
                <w:rFonts w:cs="B Zar" w:hint="cs"/>
                <w:sz w:val="24"/>
                <w:szCs w:val="24"/>
                <w:rtl/>
                <w:lang w:bidi="fa-IR"/>
              </w:rPr>
              <w:t>ي</w:t>
            </w:r>
            <w:r w:rsidRPr="00CE28C1">
              <w:rPr>
                <w:rFonts w:cs="B Zar" w:hint="cs"/>
                <w:sz w:val="24"/>
                <w:szCs w:val="24"/>
                <w:rtl/>
              </w:rPr>
              <w:t>د پتاس</w:t>
            </w:r>
            <w:r w:rsidRPr="00CE28C1">
              <w:rPr>
                <w:rFonts w:cs="B Zar" w:hint="cs"/>
                <w:sz w:val="24"/>
                <w:szCs w:val="24"/>
                <w:rtl/>
                <w:lang w:bidi="fa-IR"/>
              </w:rPr>
              <w:t>ي</w:t>
            </w:r>
            <w:r w:rsidRPr="00CE28C1">
              <w:rPr>
                <w:rFonts w:cs="B Zar" w:hint="cs"/>
                <w:sz w:val="24"/>
                <w:szCs w:val="24"/>
                <w:rtl/>
              </w:rPr>
              <w:t xml:space="preserve">م </w:t>
            </w:r>
            <w:r w:rsidRPr="00CE28C1">
              <w:rPr>
                <w:rFonts w:cs="B Zar"/>
                <w:sz w:val="20"/>
              </w:rPr>
              <w:t>(mole/Lit)</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غلظت زينکات</w:t>
            </w:r>
            <w:r w:rsidRPr="00CE28C1">
              <w:rPr>
                <w:rFonts w:cs="B Zar"/>
                <w:sz w:val="24"/>
                <w:szCs w:val="24"/>
              </w:rPr>
              <w:t xml:space="preserve"> </w:t>
            </w:r>
            <w:r w:rsidRPr="00CE28C1">
              <w:rPr>
                <w:rFonts w:cs="B Zar"/>
                <w:sz w:val="20"/>
              </w:rPr>
              <w:t>(mole/Lit)</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شماره آزمايش</w:t>
            </w:r>
          </w:p>
        </w:tc>
      </w:tr>
      <w:tr w:rsidR="00D95C3C" w:rsidRPr="00CE28C1" w:rsidTr="00C00DA0">
        <w:trPr>
          <w:trHeight w:val="297"/>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9/4</w:t>
            </w:r>
          </w:p>
        </w:tc>
        <w:tc>
          <w:tcPr>
            <w:tcW w:w="1355" w:type="dxa"/>
            <w:vAlign w:val="center"/>
          </w:tcPr>
          <w:p w:rsidR="00D95C3C" w:rsidRPr="00CE28C1" w:rsidRDefault="00D95C3C" w:rsidP="00C00DA0">
            <w:pPr>
              <w:pStyle w:val="a"/>
              <w:jc w:val="center"/>
              <w:rPr>
                <w:rFonts w:cs="B Zar"/>
                <w:sz w:val="24"/>
                <w:szCs w:val="24"/>
                <w:rtl/>
              </w:rPr>
            </w:pPr>
            <w:r w:rsidRPr="00CE28C1">
              <w:rPr>
                <w:rFonts w:cs="B Zar" w:hint="cs"/>
                <w:sz w:val="24"/>
                <w:szCs w:val="24"/>
                <w:rtl/>
              </w:rPr>
              <w:t>4/7</w:t>
            </w:r>
          </w:p>
        </w:tc>
        <w:tc>
          <w:tcPr>
            <w:tcW w:w="2172" w:type="dxa"/>
            <w:vAlign w:val="center"/>
          </w:tcPr>
          <w:p w:rsidR="00D95C3C" w:rsidRPr="00CE28C1" w:rsidRDefault="00D95C3C" w:rsidP="00C00DA0">
            <w:pPr>
              <w:pStyle w:val="a"/>
              <w:jc w:val="center"/>
              <w:rPr>
                <w:rFonts w:cs="B Zar"/>
                <w:sz w:val="24"/>
                <w:szCs w:val="24"/>
                <w:rtl/>
              </w:rPr>
            </w:pPr>
            <w:r w:rsidRPr="00CE28C1">
              <w:rPr>
                <w:rFonts w:cs="B Zar" w:hint="cs"/>
                <w:sz w:val="24"/>
                <w:szCs w:val="24"/>
                <w:rtl/>
              </w:rPr>
              <w:t>7</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2/1</w:t>
            </w:r>
          </w:p>
        </w:tc>
        <w:tc>
          <w:tcPr>
            <w:tcW w:w="1372" w:type="dxa"/>
            <w:vAlign w:val="center"/>
          </w:tcPr>
          <w:p w:rsidR="00D95C3C" w:rsidRPr="00CE28C1" w:rsidRDefault="00D95C3C" w:rsidP="00C00DA0">
            <w:pPr>
              <w:pStyle w:val="a"/>
              <w:jc w:val="center"/>
              <w:rPr>
                <w:rFonts w:cs="B Zar"/>
                <w:sz w:val="24"/>
                <w:szCs w:val="24"/>
                <w:rtl/>
              </w:rPr>
            </w:pPr>
            <w:r w:rsidRPr="00CE28C1">
              <w:rPr>
                <w:rFonts w:cs="B Zar" w:hint="cs"/>
                <w:sz w:val="24"/>
                <w:szCs w:val="24"/>
                <w:rtl/>
              </w:rPr>
              <w:t>1</w:t>
            </w:r>
          </w:p>
        </w:tc>
      </w:tr>
      <w:tr w:rsidR="00D95C3C" w:rsidRPr="00CE28C1" w:rsidTr="00C00DA0">
        <w:trPr>
          <w:trHeight w:val="314"/>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28/5</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7/7</w:t>
            </w:r>
          </w:p>
        </w:tc>
        <w:tc>
          <w:tcPr>
            <w:tcW w:w="21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9</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2/1</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2</w:t>
            </w:r>
          </w:p>
        </w:tc>
      </w:tr>
      <w:tr w:rsidR="00D95C3C" w:rsidRPr="00CE28C1" w:rsidTr="00C00DA0">
        <w:trPr>
          <w:trHeight w:val="77"/>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8/5</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8/7</w:t>
            </w:r>
          </w:p>
        </w:tc>
        <w:tc>
          <w:tcPr>
            <w:tcW w:w="21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11</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2/1</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3</w:t>
            </w:r>
          </w:p>
        </w:tc>
      </w:tr>
      <w:tr w:rsidR="00D95C3C" w:rsidRPr="00CE28C1" w:rsidTr="00C00DA0">
        <w:trPr>
          <w:trHeight w:val="297"/>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9/4</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5/7</w:t>
            </w:r>
          </w:p>
        </w:tc>
        <w:tc>
          <w:tcPr>
            <w:tcW w:w="21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7</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8/0</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4</w:t>
            </w:r>
          </w:p>
        </w:tc>
      </w:tr>
      <w:tr w:rsidR="00D95C3C" w:rsidRPr="00CE28C1" w:rsidTr="00C00DA0">
        <w:trPr>
          <w:trHeight w:val="297"/>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77/5</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8/7</w:t>
            </w:r>
          </w:p>
        </w:tc>
        <w:tc>
          <w:tcPr>
            <w:tcW w:w="21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9</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8/0</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5</w:t>
            </w:r>
          </w:p>
        </w:tc>
      </w:tr>
      <w:tr w:rsidR="00D95C3C" w:rsidRPr="00CE28C1" w:rsidTr="00C00DA0">
        <w:trPr>
          <w:trHeight w:val="99"/>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33/7</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2/8</w:t>
            </w:r>
          </w:p>
        </w:tc>
        <w:tc>
          <w:tcPr>
            <w:tcW w:w="21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11</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8/0</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6</w:t>
            </w:r>
          </w:p>
        </w:tc>
      </w:tr>
      <w:tr w:rsidR="00D95C3C" w:rsidRPr="00CE28C1" w:rsidTr="00C00DA0">
        <w:trPr>
          <w:trHeight w:val="99"/>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54/7</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4/8</w:t>
            </w:r>
          </w:p>
        </w:tc>
        <w:tc>
          <w:tcPr>
            <w:tcW w:w="21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7</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5/0</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7</w:t>
            </w:r>
          </w:p>
        </w:tc>
      </w:tr>
      <w:tr w:rsidR="00D95C3C" w:rsidRPr="00CE28C1" w:rsidTr="00C00DA0">
        <w:trPr>
          <w:trHeight w:val="99"/>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85/7</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8/8</w:t>
            </w:r>
          </w:p>
        </w:tc>
        <w:tc>
          <w:tcPr>
            <w:tcW w:w="21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9</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5/0</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8</w:t>
            </w:r>
          </w:p>
        </w:tc>
      </w:tr>
      <w:tr w:rsidR="00D95C3C" w:rsidRPr="00CE28C1" w:rsidTr="00C00DA0">
        <w:trPr>
          <w:trHeight w:val="266"/>
          <w:jc w:val="center"/>
        </w:trPr>
        <w:tc>
          <w:tcPr>
            <w:tcW w:w="1480"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91/7</w:t>
            </w:r>
          </w:p>
        </w:tc>
        <w:tc>
          <w:tcPr>
            <w:tcW w:w="1355"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1/9</w:t>
            </w:r>
          </w:p>
        </w:tc>
        <w:tc>
          <w:tcPr>
            <w:tcW w:w="21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11</w:t>
            </w:r>
          </w:p>
        </w:tc>
        <w:tc>
          <w:tcPr>
            <w:tcW w:w="1446"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5/0</w:t>
            </w:r>
          </w:p>
        </w:tc>
        <w:tc>
          <w:tcPr>
            <w:tcW w:w="1372" w:type="dxa"/>
            <w:vAlign w:val="center"/>
          </w:tcPr>
          <w:p w:rsidR="00D95C3C" w:rsidRPr="00CE28C1" w:rsidRDefault="00D95C3C" w:rsidP="00C00DA0">
            <w:pPr>
              <w:pStyle w:val="a"/>
              <w:jc w:val="center"/>
              <w:rPr>
                <w:rFonts w:cs="B Zar"/>
                <w:sz w:val="24"/>
                <w:szCs w:val="24"/>
              </w:rPr>
            </w:pPr>
            <w:r w:rsidRPr="00CE28C1">
              <w:rPr>
                <w:rFonts w:cs="B Zar" w:hint="cs"/>
                <w:sz w:val="24"/>
                <w:szCs w:val="24"/>
                <w:rtl/>
              </w:rPr>
              <w:t>9</w:t>
            </w:r>
          </w:p>
        </w:tc>
      </w:tr>
    </w:tbl>
    <w:p w:rsidR="00D95C3C" w:rsidRPr="00CE28C1" w:rsidRDefault="00D95C3C" w:rsidP="00D95C3C">
      <w:pPr>
        <w:jc w:val="both"/>
        <w:rPr>
          <w:rFonts w:cs="B Zar"/>
          <w:rtl/>
          <w:lang w:bidi="fa-IR"/>
        </w:rPr>
      </w:pPr>
    </w:p>
    <w:p w:rsidR="00D95C3C" w:rsidRPr="00CE28C1" w:rsidRDefault="00D95C3C" w:rsidP="00D95C3C">
      <w:pPr>
        <w:pStyle w:val="Ctrl2"/>
        <w:rPr>
          <w:rFonts w:cs="B Zar"/>
          <w:rtl/>
        </w:rPr>
      </w:pPr>
      <w:r w:rsidRPr="00CE28C1">
        <w:rPr>
          <w:rFonts w:cs="B Zar" w:hint="cs"/>
          <w:rtl/>
        </w:rPr>
        <w:t>نتايج و بحث</w:t>
      </w:r>
    </w:p>
    <w:p w:rsidR="00D95C3C" w:rsidRPr="00CE28C1" w:rsidRDefault="00D95C3C" w:rsidP="00D95C3C">
      <w:pPr>
        <w:pStyle w:val="Ctrl0"/>
        <w:rPr>
          <w:rFonts w:cs="B Zar"/>
          <w:rtl/>
          <w:lang w:bidi="fa-IR"/>
        </w:rPr>
      </w:pPr>
      <w:r w:rsidRPr="00CE28C1">
        <w:rPr>
          <w:rFonts w:cs="B Zar" w:hint="cs"/>
          <w:rtl/>
          <w:lang w:bidi="fa-IR"/>
        </w:rPr>
        <w:t xml:space="preserve">تعدادي از تصاوير </w:t>
      </w:r>
      <w:r w:rsidRPr="00CE28C1">
        <w:rPr>
          <w:rFonts w:cs="B Zar"/>
          <w:lang w:bidi="fa-IR"/>
        </w:rPr>
        <w:t>SEM</w:t>
      </w:r>
      <w:r w:rsidRPr="00CE28C1">
        <w:rPr>
          <w:rFonts w:cs="B Zar" w:hint="cs"/>
          <w:rtl/>
          <w:lang w:bidi="fa-IR"/>
        </w:rPr>
        <w:t xml:space="preserve"> تهيه شده از دانه هاي پودر در شکل (1) آورده شده است. در بررسي کيفي، پودر </w:t>
      </w:r>
      <w:r w:rsidRPr="00CE28C1">
        <w:rPr>
          <w:rFonts w:cs="B Zar" w:hint="cs"/>
          <w:rtl/>
          <w:lang w:bidi="fa-IR"/>
        </w:rPr>
        <w:lastRenderedPageBreak/>
        <w:t>هاي تهيه شده داراي مورفولوژي دندريتي هستند. براي مقايسه دقيق تر نياز به مطالعه کمي سطح ويژه پودر ها وجود دارد. با کاهش غلظت زينکات از 2/1 مولار به 5/0 مولار، سطح ويژه ذرات پودر افزايش مي</w:t>
      </w:r>
      <w:r w:rsidRPr="00CE28C1">
        <w:rPr>
          <w:rFonts w:cs="B Zar" w:hint="cs"/>
          <w:rtl/>
          <w:lang w:bidi="fa-IR"/>
        </w:rPr>
        <w:softHyphen/>
        <w:t xml:space="preserve">يابد. مشابه همين روند با افزايش چگالي </w:t>
      </w:r>
      <w:r w:rsidRPr="00CE28C1">
        <w:rPr>
          <w:rFonts w:cs="B Zar"/>
          <w:lang w:bidi="fa-IR"/>
        </w:rPr>
        <w:t>KOH</w:t>
      </w:r>
      <w:r w:rsidRPr="00CE28C1">
        <w:rPr>
          <w:rFonts w:cs="B Zar" w:hint="cs"/>
          <w:rtl/>
          <w:lang w:bidi="fa-IR"/>
        </w:rPr>
        <w:t xml:space="preserve"> از 7 تا 11 مولار قابل مشاهده است. هرچه پودر دندريتي تر و داراي خلل و فرج بيشتري باشد، سطح ويژه بيشتري خواهد داشت و براي کاربرد در باطري ها مناسب تر است.</w:t>
      </w:r>
    </w:p>
    <w:p w:rsidR="00D95C3C" w:rsidRDefault="00D95C3C" w:rsidP="00D95C3C">
      <w:pPr>
        <w:pStyle w:val="Ctrl0"/>
        <w:rPr>
          <w:rFonts w:cs="B Zar" w:hint="cs"/>
          <w:rtl/>
          <w:lang w:bidi="fa-IR"/>
        </w:rPr>
      </w:pPr>
      <w:r w:rsidRPr="00CE28C1">
        <w:rPr>
          <w:rFonts w:cs="B Zar" w:hint="cs"/>
          <w:rtl/>
          <w:lang w:bidi="fa-IR"/>
        </w:rPr>
        <w:t>تغييرات ولتاژ تخليه برحسب زمان در مورد برخي از باطري ها در شکل (2) مشاهده مي</w:t>
      </w:r>
      <w:r w:rsidRPr="00CE28C1">
        <w:rPr>
          <w:rFonts w:cs="B Zar" w:hint="cs"/>
          <w:rtl/>
          <w:lang w:bidi="fa-IR"/>
        </w:rPr>
        <w:softHyphen/>
        <w:t>شود. مصرف مواد فعال در الکترود ها در حين تخليه را مي</w:t>
      </w:r>
      <w:r w:rsidRPr="00CE28C1">
        <w:rPr>
          <w:rFonts w:cs="B Zar" w:hint="cs"/>
          <w:rtl/>
          <w:lang w:bidi="fa-IR"/>
        </w:rPr>
        <w:softHyphen/>
        <w:t>توام با معادله (2) نشان داد.</w:t>
      </w:r>
    </w:p>
    <w:p w:rsidR="00D95C3C" w:rsidRDefault="00D95C3C" w:rsidP="00D95C3C">
      <w:pPr>
        <w:pStyle w:val="Ctrl0"/>
        <w:bidi w:val="0"/>
        <w:ind w:firstLine="0"/>
        <w:jc w:val="left"/>
        <w:rPr>
          <w:rFonts w:cs="B Zar"/>
          <w:lang w:bidi="fa-IR"/>
        </w:rPr>
      </w:pPr>
      <w:r w:rsidRPr="00E34002">
        <w:rPr>
          <w:rFonts w:cs="B Zar"/>
          <w:position w:val="-10"/>
          <w:lang w:bidi="fa-IR"/>
        </w:rPr>
        <w:object w:dxaOrig="2860" w:dyaOrig="320">
          <v:shape id="_x0000_i1026" type="#_x0000_t75" style="width:143.25pt;height:15.75pt" o:ole="">
            <v:imagedata r:id="rId12" o:title=""/>
          </v:shape>
          <o:OLEObject Type="Embed" ProgID="Equation.3" ShapeID="_x0000_i1026" DrawAspect="Content" ObjectID="_1352971156" r:id="rId13"/>
        </w:object>
      </w:r>
      <w:r w:rsidRPr="00CE28C1">
        <w:rPr>
          <w:rFonts w:cs="B Zar" w:hint="cs"/>
          <w:rtl/>
          <w:lang w:bidi="fa-IR"/>
        </w:rPr>
        <w:t xml:space="preserve"> </w:t>
      </w:r>
    </w:p>
    <w:p w:rsidR="00D95C3C" w:rsidRPr="00CE28C1" w:rsidRDefault="00D95C3C" w:rsidP="00D95C3C">
      <w:pPr>
        <w:pStyle w:val="Ctrl0"/>
        <w:bidi w:val="0"/>
        <w:jc w:val="left"/>
        <w:rPr>
          <w:rFonts w:cs="B Zar"/>
          <w:lang w:bidi="fa-IR"/>
        </w:rPr>
      </w:pPr>
    </w:p>
    <w:p w:rsidR="00D95C3C" w:rsidRPr="00CE28C1" w:rsidRDefault="00D95C3C" w:rsidP="00D95C3C">
      <w:pPr>
        <w:jc w:val="center"/>
        <w:rPr>
          <w:rFonts w:cs="B Zar"/>
        </w:rPr>
      </w:pPr>
      <w:r>
        <w:rPr>
          <w:rFonts w:cs="B Zar"/>
          <w:noProof/>
        </w:rPr>
        <w:drawing>
          <wp:inline distT="0" distB="0" distL="0" distR="0">
            <wp:extent cx="2533650" cy="1581150"/>
            <wp:effectExtent l="19050" t="0" r="0" b="0"/>
            <wp:docPr id="11" name="Picture 0" descr="0-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5       11.jpg"/>
                    <pic:cNvPicPr>
                      <a:picLocks noChangeAspect="1" noChangeArrowheads="1"/>
                    </pic:cNvPicPr>
                  </pic:nvPicPr>
                  <pic:blipFill>
                    <a:blip r:embed="rId14"/>
                    <a:srcRect b="8791"/>
                    <a:stretch>
                      <a:fillRect/>
                    </a:stretch>
                  </pic:blipFill>
                  <pic:spPr bwMode="auto">
                    <a:xfrm>
                      <a:off x="0" y="0"/>
                      <a:ext cx="2533650" cy="1581150"/>
                    </a:xfrm>
                    <a:prstGeom prst="rect">
                      <a:avLst/>
                    </a:prstGeom>
                    <a:noFill/>
                    <a:ln w="9525">
                      <a:noFill/>
                      <a:miter lim="800000"/>
                      <a:headEnd/>
                      <a:tailEnd/>
                    </a:ln>
                  </pic:spPr>
                </pic:pic>
              </a:graphicData>
            </a:graphic>
          </wp:inline>
        </w:drawing>
      </w:r>
      <w:r>
        <w:rPr>
          <w:rFonts w:cs="B Zar"/>
          <w:noProof/>
        </w:rPr>
        <w:drawing>
          <wp:inline distT="0" distB="0" distL="0" distR="0">
            <wp:extent cx="2514600" cy="1581150"/>
            <wp:effectExtent l="19050" t="0" r="0" b="0"/>
            <wp:docPr id="4" name="Picture 3" descr="1-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11.jpg"/>
                    <pic:cNvPicPr>
                      <a:picLocks noChangeAspect="1" noChangeArrowheads="1"/>
                    </pic:cNvPicPr>
                  </pic:nvPicPr>
                  <pic:blipFill>
                    <a:blip r:embed="rId15"/>
                    <a:srcRect b="8791"/>
                    <a:stretch>
                      <a:fillRect/>
                    </a:stretch>
                  </pic:blipFill>
                  <pic:spPr bwMode="auto">
                    <a:xfrm>
                      <a:off x="0" y="0"/>
                      <a:ext cx="2514600" cy="1581150"/>
                    </a:xfrm>
                    <a:prstGeom prst="rect">
                      <a:avLst/>
                    </a:prstGeom>
                    <a:noFill/>
                    <a:ln w="9525">
                      <a:noFill/>
                      <a:miter lim="800000"/>
                      <a:headEnd/>
                      <a:tailEnd/>
                    </a:ln>
                  </pic:spPr>
                </pic:pic>
              </a:graphicData>
            </a:graphic>
          </wp:inline>
        </w:drawing>
      </w:r>
    </w:p>
    <w:p w:rsidR="00D95C3C" w:rsidRPr="00CE28C1" w:rsidRDefault="00D95C3C" w:rsidP="00D95C3C">
      <w:pPr>
        <w:pStyle w:val="Ctrl6"/>
        <w:rPr>
          <w:rFonts w:cs="B Zar"/>
          <w:rtl/>
        </w:rPr>
      </w:pPr>
      <w:r w:rsidRPr="00CE28C1">
        <w:rPr>
          <w:rFonts w:cs="B Zar" w:hint="cs"/>
          <w:rtl/>
        </w:rPr>
        <w:t xml:space="preserve">تصوير </w:t>
      </w:r>
      <w:r w:rsidRPr="00CE28C1">
        <w:rPr>
          <w:rFonts w:cs="B Zar"/>
          <w:szCs w:val="18"/>
        </w:rPr>
        <w:t>SEM</w:t>
      </w:r>
      <w:r w:rsidRPr="00CE28C1">
        <w:rPr>
          <w:rFonts w:cs="B Zar" w:hint="cs"/>
          <w:rtl/>
        </w:rPr>
        <w:t xml:space="preserve"> از پودر روي تهيه شده در (الف) غلظت زينکات 2/1 مولار و الکتروليت 11 مولار (ب) غلظت زينکات 5/0 مولار و الکتروليت 11 مولار</w:t>
      </w:r>
    </w:p>
    <w:p w:rsidR="00D95C3C" w:rsidRPr="00CE28C1" w:rsidRDefault="00D95C3C" w:rsidP="00D95C3C">
      <w:pPr>
        <w:pStyle w:val="Ctrl0"/>
        <w:rPr>
          <w:rFonts w:cs="B Zar"/>
          <w:rtl/>
          <w:lang w:bidi="fa-IR"/>
        </w:rPr>
      </w:pPr>
    </w:p>
    <w:p w:rsidR="00D95C3C" w:rsidRPr="00CE28C1" w:rsidRDefault="00D95C3C" w:rsidP="00D95C3C">
      <w:pPr>
        <w:pStyle w:val="Ctrl0"/>
        <w:rPr>
          <w:rFonts w:cs="B Zar"/>
          <w:rtl/>
        </w:rPr>
      </w:pPr>
      <w:r w:rsidRPr="00CE28C1">
        <w:rPr>
          <w:rFonts w:cs="B Zar" w:hint="cs"/>
          <w:rtl/>
        </w:rPr>
        <w:t>يک پارامتر مهم در نمودار هاي ولتاژ-زمان تخليه، مقدار زماني است که طول مي</w:t>
      </w:r>
      <w:r w:rsidRPr="00CE28C1">
        <w:rPr>
          <w:rFonts w:cs="B Zar" w:hint="cs"/>
          <w:rtl/>
        </w:rPr>
        <w:softHyphen/>
        <w:t>کشد تا ولتاژ به مقدار مشخصي برسد. در کاربرد مورد نظر در اين پژوهش، اين ولتاژ برابر 25/1 ولت بوده است. پارامتر مهم ديگر شيب نمودار است. مسلما کاهش تدريجي ولتاژ مطلوب تر است. چنان که مشاهده مي</w:t>
      </w:r>
      <w:r w:rsidRPr="00CE28C1">
        <w:rPr>
          <w:rFonts w:cs="B Zar" w:hint="cs"/>
          <w:rtl/>
        </w:rPr>
        <w:softHyphen/>
        <w:t>شود شيب تغيير ولتاژ در اين نمودار ها ملايم است.</w:t>
      </w:r>
    </w:p>
    <w:p w:rsidR="00D95C3C" w:rsidRPr="00CE28C1" w:rsidRDefault="00D95C3C" w:rsidP="00D95C3C">
      <w:pPr>
        <w:pStyle w:val="Ctrl0"/>
        <w:rPr>
          <w:rFonts w:cs="B Zar"/>
          <w:rtl/>
          <w:lang w:bidi="fa-IR"/>
        </w:rPr>
      </w:pPr>
      <w:r w:rsidRPr="00CE28C1">
        <w:rPr>
          <w:rFonts w:cs="B Zar" w:hint="cs"/>
          <w:rtl/>
          <w:lang w:bidi="fa-IR"/>
        </w:rPr>
        <w:t xml:space="preserve">پارامتر مهم ديگر زمان است. تغييرات زمان تخليه برحسب غلظت يون زينکات و </w:t>
      </w:r>
      <w:r w:rsidRPr="00CE28C1">
        <w:rPr>
          <w:rFonts w:cs="B Zar"/>
          <w:lang w:bidi="fa-IR"/>
        </w:rPr>
        <w:t>KOH</w:t>
      </w:r>
      <w:r w:rsidRPr="00CE28C1">
        <w:rPr>
          <w:rFonts w:cs="B Zar" w:hint="cs"/>
          <w:rtl/>
          <w:lang w:bidi="fa-IR"/>
        </w:rPr>
        <w:t xml:space="preserve"> درشکل (3) ترسيم شده است. با افزايش سطح ويژه پودر، زمان تخليه افزايش مي</w:t>
      </w:r>
      <w:r w:rsidRPr="00CE28C1">
        <w:rPr>
          <w:rFonts w:cs="B Zar" w:hint="cs"/>
          <w:rtl/>
          <w:lang w:bidi="fa-IR"/>
        </w:rPr>
        <w:softHyphen/>
        <w:t>يابد. علاوه بر آن تماس بين ماده الکترود و شبکه فلزي انتقال دهنده جريان از آن، بهبود مي</w:t>
      </w:r>
      <w:r w:rsidRPr="00CE28C1">
        <w:rPr>
          <w:rFonts w:cs="B Zar" w:hint="cs"/>
          <w:rtl/>
          <w:lang w:bidi="fa-IR"/>
        </w:rPr>
        <w:softHyphen/>
        <w:t>يابد که خود منجر به بهبود عملکرد باطري مي</w:t>
      </w:r>
      <w:r w:rsidRPr="00CE28C1">
        <w:rPr>
          <w:rFonts w:cs="B Zar" w:hint="cs"/>
          <w:rtl/>
          <w:lang w:bidi="fa-IR"/>
        </w:rPr>
        <w:softHyphen/>
        <w:t xml:space="preserve">گردد. بهترين زمان تخليه پيش از رسيدن به حداقل ولتاژ تعيين شده 25/1 ولت، 91/7 دقيقه بوده است. اين زمان از الکترود پودر روي تهيه شده در غلظت زينکات 5/0 مولار و غلظت </w:t>
      </w:r>
      <w:r w:rsidRPr="00CE28C1">
        <w:rPr>
          <w:rFonts w:cs="B Zar"/>
          <w:lang w:bidi="fa-IR"/>
        </w:rPr>
        <w:t>KOH</w:t>
      </w:r>
      <w:r w:rsidRPr="00CE28C1">
        <w:rPr>
          <w:rFonts w:cs="B Zar" w:hint="cs"/>
          <w:rtl/>
          <w:lang w:bidi="fa-IR"/>
        </w:rPr>
        <w:t xml:space="preserve"> 11 مولار بدست آمده است.</w:t>
      </w:r>
    </w:p>
    <w:p w:rsidR="00D95C3C" w:rsidRPr="00CE28C1" w:rsidRDefault="00D95C3C" w:rsidP="00D95C3C">
      <w:pPr>
        <w:pStyle w:val="Ctrl2"/>
        <w:rPr>
          <w:rFonts w:cs="B Zar"/>
          <w:rtl/>
        </w:rPr>
      </w:pPr>
      <w:r w:rsidRPr="00CE28C1">
        <w:rPr>
          <w:rFonts w:cs="B Zar" w:hint="cs"/>
          <w:rtl/>
        </w:rPr>
        <w:lastRenderedPageBreak/>
        <w:t>نتيجه گيري</w:t>
      </w:r>
    </w:p>
    <w:p w:rsidR="00D95C3C" w:rsidRPr="00CE28C1" w:rsidRDefault="00D95C3C" w:rsidP="00D95C3C">
      <w:pPr>
        <w:pStyle w:val="Ctrl0"/>
        <w:rPr>
          <w:rFonts w:cs="B Zar"/>
          <w:rtl/>
          <w:lang w:bidi="fa-IR"/>
        </w:rPr>
      </w:pPr>
      <w:r w:rsidRPr="00CE28C1">
        <w:rPr>
          <w:rFonts w:cs="B Zar" w:hint="cs"/>
          <w:rtl/>
          <w:lang w:bidi="fa-IR"/>
        </w:rPr>
        <w:t>در اين پژوهش پودر روي با امکاناتي ساده توليد گرديد. مشاهده شد که در فرايند توليد پودر روي الکتروليتي با افزايش غلظت الکتروليت و کاهش غلظت يون زينکات، مورفولوژي پودر دندريتي تر شده و پراکندگي بيشتري مي</w:t>
      </w:r>
      <w:r w:rsidRPr="00CE28C1">
        <w:rPr>
          <w:rFonts w:cs="B Zar" w:hint="cs"/>
          <w:rtl/>
          <w:lang w:bidi="fa-IR"/>
        </w:rPr>
        <w:softHyphen/>
        <w:t>يابد. اين تغيير مورفولوژي منجر به افزايش سطح موثر پودر مي</w:t>
      </w:r>
      <w:r w:rsidRPr="00CE28C1">
        <w:rPr>
          <w:rFonts w:cs="B Zar" w:hint="cs"/>
          <w:rtl/>
          <w:lang w:bidi="fa-IR"/>
        </w:rPr>
        <w:softHyphen/>
        <w:t>شود. نمونه هاي پودر روي دندريتي کارايي مطلوب تري در باطري هاي روي-اکسيد نقره دارند و سلول هاي تهيه شده از اين نمونه هاي پودر داراي منحني ولتاژ-زمان تخليه با شيب کم و زمان تخليه طولاني نزديک به هشت دقيقه هستند که اين نشان دهنده عملکرد مطلوب آنها است.</w:t>
      </w:r>
    </w:p>
    <w:p w:rsidR="00D95C3C" w:rsidRPr="00CE28C1" w:rsidRDefault="00D95C3C" w:rsidP="00D95C3C">
      <w:pPr>
        <w:pStyle w:val="Ctrl0"/>
        <w:rPr>
          <w:rFonts w:cs="B Zar"/>
          <w:rtl/>
          <w:lang w:bidi="fa-IR"/>
        </w:rPr>
      </w:pPr>
    </w:p>
    <w:p w:rsidR="00D95C3C" w:rsidRPr="00CE28C1" w:rsidRDefault="00D95C3C" w:rsidP="00D95C3C">
      <w:pPr>
        <w:jc w:val="center"/>
        <w:rPr>
          <w:rFonts w:cs="B Zar"/>
          <w:lang w:bidi="fa-IR"/>
        </w:rPr>
      </w:pPr>
      <w:r>
        <w:rPr>
          <w:rFonts w:cs="B Zar"/>
          <w:noProof/>
        </w:rPr>
        <w:drawing>
          <wp:inline distT="0" distB="0" distL="0" distR="0">
            <wp:extent cx="2609850" cy="1800225"/>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l="20885" t="21577" r="22340" b="16225"/>
                    <a:stretch>
                      <a:fillRect/>
                    </a:stretch>
                  </pic:blipFill>
                  <pic:spPr bwMode="auto">
                    <a:xfrm>
                      <a:off x="0" y="0"/>
                      <a:ext cx="2609850" cy="1800225"/>
                    </a:xfrm>
                    <a:prstGeom prst="rect">
                      <a:avLst/>
                    </a:prstGeom>
                    <a:noFill/>
                    <a:ln w="9525">
                      <a:noFill/>
                      <a:miter lim="800000"/>
                      <a:headEnd/>
                      <a:tailEnd/>
                    </a:ln>
                  </pic:spPr>
                </pic:pic>
              </a:graphicData>
            </a:graphic>
          </wp:inline>
        </w:drawing>
      </w:r>
      <w:r>
        <w:rPr>
          <w:rFonts w:cs="B Zar"/>
          <w:noProof/>
        </w:rPr>
        <w:drawing>
          <wp:inline distT="0" distB="0" distL="0" distR="0">
            <wp:extent cx="2667000" cy="1800225"/>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l="18851" t="27187" r="25235" b="14369"/>
                    <a:stretch>
                      <a:fillRect/>
                    </a:stretch>
                  </pic:blipFill>
                  <pic:spPr bwMode="auto">
                    <a:xfrm>
                      <a:off x="0" y="0"/>
                      <a:ext cx="2667000" cy="1800225"/>
                    </a:xfrm>
                    <a:prstGeom prst="rect">
                      <a:avLst/>
                    </a:prstGeom>
                    <a:noFill/>
                    <a:ln w="9525">
                      <a:noFill/>
                      <a:miter lim="800000"/>
                      <a:headEnd/>
                      <a:tailEnd/>
                    </a:ln>
                  </pic:spPr>
                </pic:pic>
              </a:graphicData>
            </a:graphic>
          </wp:inline>
        </w:drawing>
      </w:r>
    </w:p>
    <w:p w:rsidR="00D95C3C" w:rsidRPr="00CE28C1" w:rsidRDefault="00D95C3C" w:rsidP="00D95C3C">
      <w:pPr>
        <w:jc w:val="center"/>
        <w:rPr>
          <w:rFonts w:cs="B Zar"/>
          <w:lang w:bidi="fa-IR"/>
        </w:rPr>
      </w:pPr>
      <w:r>
        <w:rPr>
          <w:rFonts w:cs="B Zar"/>
          <w:noProof/>
        </w:rPr>
        <w:drawing>
          <wp:inline distT="0" distB="0" distL="0" distR="0">
            <wp:extent cx="2695575" cy="1800225"/>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l="21175" t="22754" r="22310" b="17291"/>
                    <a:stretch>
                      <a:fillRect/>
                    </a:stretch>
                  </pic:blipFill>
                  <pic:spPr bwMode="auto">
                    <a:xfrm>
                      <a:off x="0" y="0"/>
                      <a:ext cx="2695575" cy="1800225"/>
                    </a:xfrm>
                    <a:prstGeom prst="rect">
                      <a:avLst/>
                    </a:prstGeom>
                    <a:noFill/>
                    <a:ln w="9525">
                      <a:noFill/>
                      <a:miter lim="800000"/>
                      <a:headEnd/>
                      <a:tailEnd/>
                    </a:ln>
                  </pic:spPr>
                </pic:pic>
              </a:graphicData>
            </a:graphic>
          </wp:inline>
        </w:drawing>
      </w:r>
      <w:r>
        <w:rPr>
          <w:rFonts w:cs="B Zar"/>
          <w:noProof/>
        </w:rPr>
        <w:drawing>
          <wp:inline distT="0" distB="0" distL="0" distR="0">
            <wp:extent cx="2628900" cy="177165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l="21172" t="24574" r="22618" b="14984"/>
                    <a:stretch>
                      <a:fillRect/>
                    </a:stretch>
                  </pic:blipFill>
                  <pic:spPr bwMode="auto">
                    <a:xfrm>
                      <a:off x="0" y="0"/>
                      <a:ext cx="2628900" cy="1771650"/>
                    </a:xfrm>
                    <a:prstGeom prst="rect">
                      <a:avLst/>
                    </a:prstGeom>
                    <a:noFill/>
                    <a:ln w="9525">
                      <a:noFill/>
                      <a:miter lim="800000"/>
                      <a:headEnd/>
                      <a:tailEnd/>
                    </a:ln>
                  </pic:spPr>
                </pic:pic>
              </a:graphicData>
            </a:graphic>
          </wp:inline>
        </w:drawing>
      </w:r>
    </w:p>
    <w:p w:rsidR="00D95C3C" w:rsidRPr="00CE28C1" w:rsidRDefault="00D95C3C" w:rsidP="00D95C3C">
      <w:pPr>
        <w:pStyle w:val="Ctrl6"/>
        <w:rPr>
          <w:rFonts w:cs="B Zar"/>
          <w:rtl/>
        </w:rPr>
      </w:pPr>
      <w:r w:rsidRPr="00CE28C1">
        <w:rPr>
          <w:rFonts w:cs="B Zar" w:hint="cs"/>
          <w:rtl/>
        </w:rPr>
        <w:t xml:space="preserve">نمودار هاي ولتاژ-زمان تخليه براي باطري هاي تهيه شده از پودر هاي روي گوناگون. </w:t>
      </w:r>
    </w:p>
    <w:p w:rsidR="00D95C3C" w:rsidRPr="00CE28C1" w:rsidRDefault="00D95C3C" w:rsidP="00D95C3C">
      <w:pPr>
        <w:ind w:firstLine="540"/>
        <w:jc w:val="center"/>
        <w:rPr>
          <w:rFonts w:cs="B Zar"/>
          <w:b/>
          <w:bCs/>
          <w:sz w:val="20"/>
          <w:szCs w:val="20"/>
          <w:rtl/>
          <w:lang w:bidi="fa-IR"/>
        </w:rPr>
      </w:pPr>
    </w:p>
    <w:p w:rsidR="00D95C3C" w:rsidRPr="00CE28C1" w:rsidRDefault="00D95C3C" w:rsidP="00D95C3C">
      <w:pPr>
        <w:jc w:val="center"/>
        <w:rPr>
          <w:rStyle w:val="Strong"/>
          <w:rFonts w:cs="B Zar"/>
          <w:color w:val="000000"/>
          <w:rtl/>
        </w:rPr>
      </w:pPr>
      <w:r>
        <w:rPr>
          <w:rFonts w:cs="B Zar"/>
          <w:noProof/>
          <w:color w:val="000000"/>
        </w:rPr>
        <w:lastRenderedPageBreak/>
        <w:drawing>
          <wp:inline distT="0" distB="0" distL="0" distR="0">
            <wp:extent cx="2628900" cy="1695450"/>
            <wp:effectExtent l="1905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l="20799" t="24081" r="22581" b="17647"/>
                    <a:stretch>
                      <a:fillRect/>
                    </a:stretch>
                  </pic:blipFill>
                  <pic:spPr bwMode="auto">
                    <a:xfrm>
                      <a:off x="0" y="0"/>
                      <a:ext cx="2628900" cy="1695450"/>
                    </a:xfrm>
                    <a:prstGeom prst="rect">
                      <a:avLst/>
                    </a:prstGeom>
                    <a:noFill/>
                    <a:ln w="9525">
                      <a:noFill/>
                      <a:miter lim="800000"/>
                      <a:headEnd/>
                      <a:tailEnd/>
                    </a:ln>
                  </pic:spPr>
                </pic:pic>
              </a:graphicData>
            </a:graphic>
          </wp:inline>
        </w:drawing>
      </w:r>
      <w:r>
        <w:rPr>
          <w:rFonts w:cs="B Zar"/>
          <w:noProof/>
          <w:color w:val="000000"/>
        </w:rPr>
        <w:drawing>
          <wp:inline distT="0" distB="0" distL="0" distR="0">
            <wp:extent cx="2686050" cy="1695450"/>
            <wp:effectExtent l="19050" t="0" r="0" b="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l="20226" t="27757" r="21103" b="14890"/>
                    <a:stretch>
                      <a:fillRect/>
                    </a:stretch>
                  </pic:blipFill>
                  <pic:spPr bwMode="auto">
                    <a:xfrm>
                      <a:off x="0" y="0"/>
                      <a:ext cx="2686050" cy="1695450"/>
                    </a:xfrm>
                    <a:prstGeom prst="rect">
                      <a:avLst/>
                    </a:prstGeom>
                    <a:noFill/>
                    <a:ln w="9525">
                      <a:noFill/>
                      <a:miter lim="800000"/>
                      <a:headEnd/>
                      <a:tailEnd/>
                    </a:ln>
                  </pic:spPr>
                </pic:pic>
              </a:graphicData>
            </a:graphic>
          </wp:inline>
        </w:drawing>
      </w:r>
    </w:p>
    <w:p w:rsidR="00D95C3C" w:rsidRPr="00CE28C1" w:rsidRDefault="00D95C3C" w:rsidP="00D95C3C">
      <w:pPr>
        <w:pStyle w:val="Ctrl6"/>
        <w:rPr>
          <w:rFonts w:cs="B Zar"/>
          <w:rtl/>
        </w:rPr>
      </w:pPr>
      <w:r w:rsidRPr="00CE28C1">
        <w:rPr>
          <w:rFonts w:cs="B Zar" w:hint="cs"/>
          <w:rtl/>
        </w:rPr>
        <w:t xml:space="preserve">ترسيم تغييرات زمان تخليه (الف) با تغيير غلظت </w:t>
      </w:r>
      <w:r w:rsidRPr="00CE28C1">
        <w:rPr>
          <w:rFonts w:cs="B Zar"/>
          <w:szCs w:val="18"/>
        </w:rPr>
        <w:t>KOH</w:t>
      </w:r>
      <w:r w:rsidRPr="00CE28C1">
        <w:rPr>
          <w:rFonts w:cs="B Zar" w:hint="cs"/>
          <w:rtl/>
        </w:rPr>
        <w:t xml:space="preserve"> در غلظت زينکات ثابت (ب) با تغيير غلظت زينکات در غلظت </w:t>
      </w:r>
      <w:r w:rsidRPr="00CE28C1">
        <w:rPr>
          <w:rFonts w:cs="B Zar"/>
          <w:szCs w:val="18"/>
        </w:rPr>
        <w:t>KOH</w:t>
      </w:r>
      <w:r w:rsidRPr="00CE28C1">
        <w:rPr>
          <w:rFonts w:cs="B Zar" w:hint="cs"/>
          <w:rtl/>
        </w:rPr>
        <w:t xml:space="preserve"> ثابت. </w:t>
      </w:r>
    </w:p>
    <w:p w:rsidR="00D95C3C" w:rsidRPr="00CE28C1" w:rsidRDefault="00D95C3C" w:rsidP="00D95C3C">
      <w:pPr>
        <w:jc w:val="both"/>
        <w:rPr>
          <w:rFonts w:cs="B Zar"/>
          <w:rtl/>
          <w:lang w:bidi="fa-IR"/>
        </w:rPr>
      </w:pPr>
    </w:p>
    <w:p w:rsidR="00D95C3C" w:rsidRPr="00CE28C1" w:rsidRDefault="00D95C3C" w:rsidP="00D95C3C">
      <w:pPr>
        <w:pStyle w:val="Ctrl2"/>
        <w:rPr>
          <w:rFonts w:cs="B Zar"/>
          <w:rtl/>
        </w:rPr>
      </w:pPr>
      <w:r w:rsidRPr="00CE28C1">
        <w:rPr>
          <w:rFonts w:cs="B Zar" w:hint="cs"/>
          <w:rtl/>
        </w:rPr>
        <w:t>مراجع</w:t>
      </w:r>
    </w:p>
    <w:p w:rsidR="00D95C3C" w:rsidRPr="00CE28C1" w:rsidRDefault="00D95C3C" w:rsidP="00D95C3C">
      <w:pPr>
        <w:pStyle w:val="a5"/>
        <w:jc w:val="both"/>
        <w:rPr>
          <w:rFonts w:cs="B Zar"/>
        </w:rPr>
      </w:pPr>
      <w:r w:rsidRPr="00CE28C1">
        <w:rPr>
          <w:rFonts w:cs="B Zar" w:hint="cs"/>
          <w:szCs w:val="22"/>
          <w:rtl/>
        </w:rPr>
        <w:t>.1</w:t>
      </w:r>
      <w:r w:rsidRPr="00CE28C1">
        <w:rPr>
          <w:rFonts w:cs="B Zar"/>
        </w:rPr>
        <w:t xml:space="preserve"> G.Q. Zhang and X.G. Zhang, “A novel alkaline Zn/MnO2 cell with alkaline solid polymer electrolyte”, Solid State Ionics, 160, 2003, 155. </w:t>
      </w:r>
    </w:p>
    <w:p w:rsidR="00D95C3C" w:rsidRPr="00CE28C1" w:rsidRDefault="00D95C3C" w:rsidP="00D95C3C">
      <w:pPr>
        <w:pStyle w:val="a5"/>
        <w:jc w:val="both"/>
        <w:rPr>
          <w:rFonts w:cs="B Zar"/>
        </w:rPr>
      </w:pPr>
      <w:r w:rsidRPr="00CE28C1">
        <w:rPr>
          <w:rFonts w:cs="B Zar" w:hint="cs"/>
          <w:szCs w:val="22"/>
          <w:rtl/>
        </w:rPr>
        <w:t>.2</w:t>
      </w:r>
      <w:r w:rsidRPr="00CE28C1">
        <w:rPr>
          <w:rFonts w:cs="B Zar"/>
        </w:rPr>
        <w:t xml:space="preserve"> Y.F. Yuan, J.P. Tu, H.M. Wu, Y.Z. Yang, D.Q. Shi, X.B. Zhao, “Electrochemical performance and morphology evolution of nanosized ZnO as anode material of Ni–Zn batteries”, Electrochem. Acta 51, 2006, 3632.</w:t>
      </w:r>
    </w:p>
    <w:p w:rsidR="00D95C3C" w:rsidRPr="00CE28C1" w:rsidRDefault="00D95C3C" w:rsidP="00D95C3C">
      <w:pPr>
        <w:pStyle w:val="a5"/>
        <w:jc w:val="both"/>
        <w:rPr>
          <w:rFonts w:cs="B Zar"/>
        </w:rPr>
      </w:pPr>
      <w:r w:rsidRPr="00CE28C1">
        <w:rPr>
          <w:rStyle w:val="txtboldonly"/>
          <w:rFonts w:cs="B Zar" w:hint="cs"/>
          <w:szCs w:val="22"/>
          <w:rtl/>
        </w:rPr>
        <w:t>.3</w:t>
      </w:r>
      <w:r w:rsidRPr="00CE28C1">
        <w:rPr>
          <w:rStyle w:val="txtboldonly"/>
          <w:rFonts w:cs="B Zar"/>
        </w:rPr>
        <w:t xml:space="preserve"> H. Chang and C.</w:t>
      </w:r>
      <w:r w:rsidRPr="00CE28C1">
        <w:rPr>
          <w:rFonts w:cs="B Zar"/>
        </w:rPr>
        <w:t xml:space="preserve"> Lim, Zinc deposition during charging nickel/zinc batteries, J. Power Sources. 66, 1997, 115.</w:t>
      </w:r>
    </w:p>
    <w:p w:rsidR="00D95C3C" w:rsidRPr="00CE28C1" w:rsidRDefault="00D95C3C" w:rsidP="00D95C3C">
      <w:pPr>
        <w:pStyle w:val="a5"/>
        <w:jc w:val="both"/>
        <w:rPr>
          <w:rFonts w:cs="B Zar"/>
        </w:rPr>
      </w:pPr>
      <w:r w:rsidRPr="00CE28C1">
        <w:rPr>
          <w:rFonts w:cs="B Zar" w:hint="cs"/>
          <w:szCs w:val="22"/>
          <w:rtl/>
        </w:rPr>
        <w:t>.</w:t>
      </w:r>
      <w:r>
        <w:rPr>
          <w:rFonts w:cs="B Zar" w:hint="cs"/>
          <w:szCs w:val="22"/>
          <w:rtl/>
        </w:rPr>
        <w:t>4</w:t>
      </w:r>
      <w:r w:rsidRPr="00CE28C1">
        <w:rPr>
          <w:rFonts w:cs="B Zar"/>
        </w:rPr>
        <w:t xml:space="preserve"> R. Shivkumar and G. Paruthimal Kalaignan, T. Vasudevan, “Studies with porous zinc electrodes with additives for secondary alkaline batteries”, J. Power Sources. 75, 1998, 90.</w:t>
      </w:r>
    </w:p>
    <w:p w:rsidR="00D95C3C" w:rsidRPr="00CE28C1" w:rsidRDefault="00D95C3C" w:rsidP="00D95C3C">
      <w:pPr>
        <w:pStyle w:val="a5"/>
        <w:jc w:val="both"/>
        <w:rPr>
          <w:rFonts w:cs="B Zar"/>
        </w:rPr>
      </w:pPr>
      <w:r w:rsidRPr="00CE28C1">
        <w:rPr>
          <w:rFonts w:cs="B Zar" w:hint="cs"/>
          <w:szCs w:val="22"/>
          <w:rtl/>
        </w:rPr>
        <w:t>.</w:t>
      </w:r>
      <w:r>
        <w:rPr>
          <w:rFonts w:cs="B Zar" w:hint="cs"/>
          <w:szCs w:val="22"/>
          <w:rtl/>
        </w:rPr>
        <w:t>5</w:t>
      </w:r>
      <w:r w:rsidRPr="00CE28C1">
        <w:rPr>
          <w:rFonts w:cs="B Zar"/>
        </w:rPr>
        <w:t xml:space="preserve"> F. Porter, Zinc handbook, Marcell Dekker Inc, 1991.</w:t>
      </w:r>
    </w:p>
    <w:p w:rsidR="00D95C3C" w:rsidRPr="00CE28C1" w:rsidRDefault="00D95C3C" w:rsidP="00D95C3C">
      <w:pPr>
        <w:pStyle w:val="a5"/>
        <w:jc w:val="both"/>
        <w:rPr>
          <w:rFonts w:cs="B Zar"/>
        </w:rPr>
      </w:pPr>
      <w:r w:rsidRPr="00CE28C1">
        <w:rPr>
          <w:rFonts w:cs="B Zar" w:hint="cs"/>
          <w:szCs w:val="22"/>
          <w:rtl/>
        </w:rPr>
        <w:t>.</w:t>
      </w:r>
      <w:r>
        <w:rPr>
          <w:rFonts w:cs="B Zar" w:hint="cs"/>
          <w:szCs w:val="22"/>
          <w:rtl/>
        </w:rPr>
        <w:t>6</w:t>
      </w:r>
      <w:r w:rsidRPr="00CE28C1">
        <w:rPr>
          <w:rFonts w:cs="B Zar"/>
        </w:rPr>
        <w:t xml:space="preserve"> Ji-ling Zhu, Yun-hong Zhou, H. Yang, “</w:t>
      </w:r>
      <w:r w:rsidRPr="00CE28C1">
        <w:rPr>
          <w:rStyle w:val="txtboldonly"/>
          <w:rFonts w:cs="B Zar"/>
        </w:rPr>
        <w:t xml:space="preserve">Effects of lanthanum and neodymium hydroxides on </w:t>
      </w:r>
      <w:r w:rsidRPr="00CE28C1">
        <w:rPr>
          <w:rFonts w:cs="B Zar"/>
        </w:rPr>
        <w:t>secondary alkaline zinc electrode”, J. Power Sources. 69, 1997, 169.</w:t>
      </w:r>
    </w:p>
    <w:p w:rsidR="00D95C3C" w:rsidRPr="00CE28C1" w:rsidRDefault="00D95C3C" w:rsidP="00D95C3C">
      <w:pPr>
        <w:pStyle w:val="a5"/>
        <w:jc w:val="both"/>
        <w:rPr>
          <w:rStyle w:val="txtboldonly"/>
          <w:rFonts w:cs="B Zar"/>
        </w:rPr>
      </w:pPr>
      <w:r w:rsidRPr="00CE28C1">
        <w:rPr>
          <w:rStyle w:val="txtboldonly"/>
          <w:rFonts w:cs="B Zar" w:hint="cs"/>
          <w:szCs w:val="22"/>
          <w:rtl/>
        </w:rPr>
        <w:t>.</w:t>
      </w:r>
      <w:r>
        <w:rPr>
          <w:rStyle w:val="txtboldonly"/>
          <w:rFonts w:cs="B Zar" w:hint="cs"/>
          <w:szCs w:val="22"/>
          <w:rtl/>
        </w:rPr>
        <w:t>7</w:t>
      </w:r>
      <w:r w:rsidRPr="00CE28C1">
        <w:rPr>
          <w:rStyle w:val="txtboldonly"/>
          <w:rFonts w:cs="B Zar"/>
        </w:rPr>
        <w:t xml:space="preserve"> L. Zhu and H. Zhang, “A novel method for the modification of zinc powder by ultrasonic impregnation in cerium nitrate solution”, Ultrasonics Sonochemistry. 15, 2008, 393–401.</w:t>
      </w:r>
    </w:p>
    <w:p w:rsidR="00D95C3C" w:rsidRPr="00CE28C1" w:rsidRDefault="00D95C3C" w:rsidP="00D95C3C">
      <w:pPr>
        <w:pStyle w:val="a5"/>
        <w:jc w:val="both"/>
        <w:rPr>
          <w:rStyle w:val="txtboldonly"/>
          <w:rFonts w:cs="B Zar"/>
        </w:rPr>
      </w:pPr>
      <w:r w:rsidRPr="00CE28C1">
        <w:rPr>
          <w:rStyle w:val="txtboldonly"/>
          <w:rFonts w:cs="B Zar" w:hint="cs"/>
          <w:szCs w:val="22"/>
          <w:rtl/>
        </w:rPr>
        <w:t>.</w:t>
      </w:r>
      <w:r>
        <w:rPr>
          <w:rStyle w:val="txtboldonly"/>
          <w:rFonts w:cs="B Zar" w:hint="cs"/>
          <w:szCs w:val="22"/>
          <w:rtl/>
        </w:rPr>
        <w:t>8</w:t>
      </w:r>
      <w:r w:rsidRPr="00CE28C1">
        <w:rPr>
          <w:rStyle w:val="txtboldonly"/>
          <w:rFonts w:cs="B Zar"/>
        </w:rPr>
        <w:t xml:space="preserve"> J. Cheng, L. Zhang, Yu-Sheng Yang, Yue-Hua Wen, Gao-Ping Cao, Xin-Dong Wang. “Preliminary study of single flow zinc-nickel battery, Electrochemistry Communications”. 9, 2007, 2639–2642.</w:t>
      </w:r>
    </w:p>
    <w:p w:rsidR="00D95C3C" w:rsidRPr="00CE28C1" w:rsidRDefault="00D95C3C" w:rsidP="00D95C3C">
      <w:pPr>
        <w:pStyle w:val="a5"/>
        <w:jc w:val="both"/>
        <w:rPr>
          <w:rFonts w:cs="B Zar"/>
        </w:rPr>
      </w:pPr>
      <w:r w:rsidRPr="00CE28C1">
        <w:rPr>
          <w:rFonts w:cs="B Zar" w:hint="cs"/>
          <w:szCs w:val="22"/>
          <w:rtl/>
        </w:rPr>
        <w:t>.</w:t>
      </w:r>
      <w:r>
        <w:rPr>
          <w:rFonts w:cs="B Zar" w:hint="cs"/>
          <w:szCs w:val="22"/>
          <w:rtl/>
        </w:rPr>
        <w:t>9</w:t>
      </w:r>
      <w:r w:rsidRPr="00CE28C1">
        <w:rPr>
          <w:rFonts w:cs="B Zar"/>
        </w:rPr>
        <w:t xml:space="preserve"> M. Minakshi, P. Singh, T. B. Issa, S. Thurgate, R. D. Marco, “</w:t>
      </w:r>
      <w:r w:rsidRPr="00CE28C1">
        <w:rPr>
          <w:rStyle w:val="txtboldonly"/>
          <w:rFonts w:cs="B Zar"/>
        </w:rPr>
        <w:t>Lithium insertion into manganese dioxide electrode in MnO2/Zn aqueous battery: Part III. Electrochemical behavior of γ-MnO2 in aqueous lithium hydroxide electrolyte”,</w:t>
      </w:r>
      <w:r w:rsidRPr="00CE28C1">
        <w:rPr>
          <w:rFonts w:cs="B Zar"/>
        </w:rPr>
        <w:t xml:space="preserve"> J. Power Sources 153, 2006, 165–169.</w:t>
      </w:r>
    </w:p>
    <w:p w:rsidR="00D95C3C" w:rsidRPr="00CE28C1" w:rsidRDefault="00D95C3C" w:rsidP="00D95C3C">
      <w:pPr>
        <w:pStyle w:val="a5"/>
        <w:jc w:val="both"/>
        <w:rPr>
          <w:rFonts w:cs="B Zar"/>
          <w:szCs w:val="22"/>
          <w:rtl/>
        </w:rPr>
      </w:pPr>
      <w:r w:rsidRPr="00CE28C1">
        <w:rPr>
          <w:rFonts w:cs="B Zar" w:hint="cs"/>
          <w:szCs w:val="22"/>
          <w:rtl/>
        </w:rPr>
        <w:t>.1</w:t>
      </w:r>
      <w:r>
        <w:rPr>
          <w:rFonts w:cs="B Zar" w:hint="cs"/>
          <w:szCs w:val="22"/>
          <w:rtl/>
        </w:rPr>
        <w:t>0</w:t>
      </w:r>
      <w:r w:rsidRPr="00CE28C1">
        <w:rPr>
          <w:rFonts w:cs="B Zar"/>
        </w:rPr>
        <w:t xml:space="preserve"> J. Nan, D. Han, M. Cui, M. Yang, L. Pan, “</w:t>
      </w:r>
      <w:r w:rsidRPr="00CE28C1">
        <w:rPr>
          <w:rStyle w:val="txtboldonly"/>
          <w:rFonts w:cs="B Zar"/>
        </w:rPr>
        <w:t>Recycling spent zinc manganese dioxide batteries through synthesizing Zn-Mn ferrite magnetic materials”.</w:t>
      </w:r>
      <w:r w:rsidRPr="00CE28C1">
        <w:rPr>
          <w:rFonts w:cs="B Zar"/>
        </w:rPr>
        <w:t xml:space="preserve"> J. Hazardous Materials. B133, 2006, 257–261.</w:t>
      </w:r>
    </w:p>
    <w:p w:rsidR="00D95C3C" w:rsidRPr="00CE28C1" w:rsidRDefault="00D95C3C" w:rsidP="00D95C3C">
      <w:pPr>
        <w:pStyle w:val="a5"/>
        <w:jc w:val="both"/>
        <w:rPr>
          <w:rFonts w:cs="B Zar"/>
        </w:rPr>
      </w:pPr>
      <w:r w:rsidRPr="00CE28C1">
        <w:rPr>
          <w:rFonts w:cs="B Zar" w:hint="cs"/>
          <w:szCs w:val="22"/>
          <w:rtl/>
        </w:rPr>
        <w:t>.1</w:t>
      </w:r>
      <w:r>
        <w:rPr>
          <w:rFonts w:cs="B Zar" w:hint="cs"/>
          <w:szCs w:val="22"/>
          <w:rtl/>
        </w:rPr>
        <w:t>1</w:t>
      </w:r>
      <w:r w:rsidRPr="00CE28C1">
        <w:rPr>
          <w:rFonts w:cs="B Zar"/>
        </w:rPr>
        <w:t xml:space="preserve"> D. F. Smith, C. Brown, “</w:t>
      </w:r>
      <w:r w:rsidRPr="00CE28C1">
        <w:rPr>
          <w:rStyle w:val="txtboldonly"/>
          <w:rFonts w:cs="B Zar"/>
        </w:rPr>
        <w:t xml:space="preserve">Aging in chemically prepared divalent silver oxide electrodes for silver/zinc reserve batteries”. </w:t>
      </w:r>
      <w:r w:rsidRPr="00CE28C1">
        <w:rPr>
          <w:rFonts w:cs="B Zar"/>
        </w:rPr>
        <w:t>J. Power Sources, 96, 2001, 121-127.</w:t>
      </w:r>
    </w:p>
    <w:p w:rsidR="00D95C3C" w:rsidRPr="00CE28C1" w:rsidRDefault="00D95C3C" w:rsidP="00D95C3C">
      <w:pPr>
        <w:pStyle w:val="a5"/>
        <w:jc w:val="both"/>
        <w:rPr>
          <w:rFonts w:cs="B Zar"/>
        </w:rPr>
      </w:pPr>
      <w:r w:rsidRPr="00CE28C1">
        <w:rPr>
          <w:rFonts w:cs="B Zar" w:hint="cs"/>
          <w:szCs w:val="22"/>
          <w:rtl/>
        </w:rPr>
        <w:t>.1</w:t>
      </w:r>
      <w:r>
        <w:rPr>
          <w:rFonts w:cs="B Zar" w:hint="cs"/>
          <w:szCs w:val="22"/>
          <w:rtl/>
        </w:rPr>
        <w:t>2</w:t>
      </w:r>
      <w:r w:rsidRPr="00CE28C1">
        <w:rPr>
          <w:rFonts w:cs="B Zar"/>
        </w:rPr>
        <w:t xml:space="preserve"> M. Venkatraman and J.W. Van Zee, “</w:t>
      </w:r>
      <w:r w:rsidRPr="00CE28C1">
        <w:rPr>
          <w:rStyle w:val="txtboldonly"/>
          <w:rFonts w:cs="B Zar"/>
        </w:rPr>
        <w:t xml:space="preserve">A model for the silver-zinc battery during high rates of discharge”. </w:t>
      </w:r>
      <w:r w:rsidRPr="00CE28C1">
        <w:rPr>
          <w:rFonts w:cs="B Zar"/>
        </w:rPr>
        <w:t>J. Power Sources, 166, 2007, 537–548.</w:t>
      </w:r>
    </w:p>
    <w:p w:rsidR="00D95C3C" w:rsidRPr="00CE28C1" w:rsidRDefault="00D95C3C" w:rsidP="00D95C3C">
      <w:pPr>
        <w:pStyle w:val="a5"/>
        <w:jc w:val="both"/>
        <w:rPr>
          <w:rFonts w:cs="B Zar"/>
        </w:rPr>
      </w:pPr>
      <w:r w:rsidRPr="00CE28C1">
        <w:rPr>
          <w:rFonts w:cs="B Zar" w:hint="cs"/>
          <w:szCs w:val="22"/>
          <w:rtl/>
        </w:rPr>
        <w:lastRenderedPageBreak/>
        <w:t>.1</w:t>
      </w:r>
      <w:r>
        <w:rPr>
          <w:rFonts w:cs="B Zar" w:hint="cs"/>
          <w:szCs w:val="22"/>
          <w:rtl/>
        </w:rPr>
        <w:t>3</w:t>
      </w:r>
      <w:r w:rsidRPr="00CE28C1">
        <w:rPr>
          <w:rFonts w:cs="B Zar"/>
        </w:rPr>
        <w:t xml:space="preserve"> D. F. Smith and J. A. Gucinski, “</w:t>
      </w:r>
      <w:r w:rsidRPr="00CE28C1">
        <w:rPr>
          <w:rStyle w:val="txtboldonly"/>
          <w:rFonts w:cs="B Zar"/>
        </w:rPr>
        <w:t>Synthetic silver oxide and mercury-free zinc electrodes for silver-zinc reserve batteries”.</w:t>
      </w:r>
      <w:r w:rsidRPr="00CE28C1">
        <w:rPr>
          <w:rFonts w:cs="B Zar"/>
        </w:rPr>
        <w:t xml:space="preserve"> J. Power Sources, 80, 1999, 66–71.</w:t>
      </w:r>
    </w:p>
    <w:p w:rsidR="00D95C3C" w:rsidRPr="00CE28C1" w:rsidRDefault="00D95C3C" w:rsidP="00D95C3C">
      <w:pPr>
        <w:pStyle w:val="a5"/>
        <w:jc w:val="both"/>
        <w:rPr>
          <w:rFonts w:cs="B Zar"/>
        </w:rPr>
      </w:pPr>
      <w:r w:rsidRPr="00CE28C1">
        <w:rPr>
          <w:rFonts w:cs="B Zar" w:hint="cs"/>
          <w:szCs w:val="22"/>
          <w:rtl/>
        </w:rPr>
        <w:t>.1</w:t>
      </w:r>
      <w:r>
        <w:rPr>
          <w:rFonts w:cs="B Zar" w:hint="cs"/>
          <w:szCs w:val="22"/>
          <w:rtl/>
        </w:rPr>
        <w:t>4</w:t>
      </w:r>
      <w:r w:rsidRPr="00CE28C1">
        <w:rPr>
          <w:rFonts w:cs="B Zar"/>
        </w:rPr>
        <w:t xml:space="preserve"> X. Gregory Zhang, “</w:t>
      </w:r>
      <w:r w:rsidRPr="00CE28C1">
        <w:rPr>
          <w:rStyle w:val="txtboldonly"/>
          <w:rFonts w:cs="B Zar"/>
        </w:rPr>
        <w:t>Fibrous zinc anodes for high power batteries”.</w:t>
      </w:r>
      <w:r w:rsidRPr="00CE28C1">
        <w:rPr>
          <w:rFonts w:cs="B Zar"/>
        </w:rPr>
        <w:t xml:space="preserve"> J. Power Sources, 163, 2006, 591–597.</w:t>
      </w:r>
    </w:p>
    <w:p w:rsidR="00D95C3C" w:rsidRPr="00CE28C1" w:rsidRDefault="00D95C3C" w:rsidP="00D95C3C">
      <w:pPr>
        <w:pStyle w:val="a5"/>
        <w:jc w:val="both"/>
        <w:rPr>
          <w:rFonts w:cs="B Zar"/>
        </w:rPr>
      </w:pPr>
      <w:r w:rsidRPr="00CE28C1">
        <w:rPr>
          <w:rFonts w:cs="B Zar" w:hint="cs"/>
          <w:szCs w:val="22"/>
          <w:rtl/>
        </w:rPr>
        <w:t>.1</w:t>
      </w:r>
      <w:r>
        <w:rPr>
          <w:rFonts w:cs="B Zar" w:hint="cs"/>
          <w:szCs w:val="22"/>
          <w:rtl/>
        </w:rPr>
        <w:t>5</w:t>
      </w:r>
      <w:r w:rsidRPr="00CE28C1">
        <w:rPr>
          <w:rFonts w:cs="B Zar"/>
        </w:rPr>
        <w:t xml:space="preserve"> X. G. Zhang, Corrosion and electrochemistry of zinc, Plenum Press, 1996.</w:t>
      </w:r>
    </w:p>
    <w:p w:rsidR="00D95C3C" w:rsidRPr="00CE28C1" w:rsidRDefault="00D95C3C" w:rsidP="00D95C3C">
      <w:pPr>
        <w:pStyle w:val="a5"/>
        <w:jc w:val="both"/>
        <w:rPr>
          <w:rFonts w:cs="B Zar"/>
          <w:szCs w:val="22"/>
        </w:rPr>
      </w:pPr>
      <w:r w:rsidRPr="00CE28C1">
        <w:rPr>
          <w:rFonts w:cs="B Zar" w:hint="cs"/>
          <w:szCs w:val="22"/>
          <w:rtl/>
        </w:rPr>
        <w:t>.1</w:t>
      </w:r>
      <w:r>
        <w:rPr>
          <w:rFonts w:cs="B Zar" w:hint="cs"/>
          <w:szCs w:val="22"/>
          <w:rtl/>
        </w:rPr>
        <w:t>6</w:t>
      </w:r>
      <w:r w:rsidRPr="00CE28C1">
        <w:rPr>
          <w:rFonts w:cs="B Zar"/>
        </w:rPr>
        <w:t xml:space="preserve"> F. Habashi, Handbook of Extractive Metallurgy, Wiley-VCH, 1991.</w:t>
      </w:r>
    </w:p>
    <w:p w:rsidR="00D95C3C" w:rsidRPr="00CE28C1" w:rsidRDefault="00D95C3C" w:rsidP="00D95C3C">
      <w:pPr>
        <w:rPr>
          <w:rFonts w:cs="B Zar"/>
          <w:lang w:bidi="fa-IR"/>
        </w:rPr>
      </w:pPr>
      <w:r w:rsidRPr="00CE28C1">
        <w:rPr>
          <w:rFonts w:cs="B Zar"/>
        </w:rPr>
        <w:br w:type="page"/>
      </w:r>
    </w:p>
    <w:p w:rsidR="00D95C3C" w:rsidRPr="00CE28C1" w:rsidRDefault="00D95C3C" w:rsidP="00D95C3C">
      <w:pPr>
        <w:pStyle w:val="a0"/>
        <w:tabs>
          <w:tab w:val="left" w:pos="2745"/>
        </w:tabs>
        <w:jc w:val="left"/>
        <w:rPr>
          <w:rFonts w:cs="B Zar"/>
        </w:rPr>
      </w:pPr>
      <w:r>
        <w:rPr>
          <w:rFonts w:cs="B Zar"/>
        </w:rPr>
        <w:lastRenderedPageBreak/>
        <w:tab/>
      </w:r>
    </w:p>
    <w:p w:rsidR="00D95C3C" w:rsidRPr="00CE28C1" w:rsidRDefault="00D95C3C" w:rsidP="00D95C3C">
      <w:pPr>
        <w:pStyle w:val="a0"/>
        <w:rPr>
          <w:rFonts w:cs="B Zar"/>
        </w:rPr>
      </w:pPr>
      <w:r w:rsidRPr="00CE28C1">
        <w:rPr>
          <w:rFonts w:cs="B Zar"/>
        </w:rPr>
        <w:t>Effect of Electrolysis Condition of Zinc Powder Production on Zinc-Silver Oxide Battery Operation</w:t>
      </w:r>
    </w:p>
    <w:p w:rsidR="00D95C3C" w:rsidRPr="00CE28C1" w:rsidRDefault="00D95C3C" w:rsidP="00D95C3C">
      <w:pPr>
        <w:pStyle w:val="a3"/>
        <w:bidi w:val="0"/>
        <w:rPr>
          <w:rFonts w:cs="B Zar"/>
        </w:rPr>
      </w:pPr>
      <w:r w:rsidRPr="00CE28C1">
        <w:rPr>
          <w:rFonts w:cs="B Zar"/>
        </w:rPr>
        <w:t>B. Sharifi, M. Mojtahedi*, M. Goodarzi, J. Vahdati Khaki</w:t>
      </w:r>
    </w:p>
    <w:p w:rsidR="00D95C3C" w:rsidRPr="00CE28C1" w:rsidRDefault="00D95C3C" w:rsidP="00D95C3C">
      <w:pPr>
        <w:pStyle w:val="a9"/>
        <w:rPr>
          <w:rFonts w:cs="B Zar"/>
          <w:b w:val="0"/>
          <w:bCs w:val="0"/>
          <w:i/>
          <w:iCs/>
          <w:rtl/>
        </w:rPr>
      </w:pPr>
      <w:r w:rsidRPr="00CE28C1">
        <w:rPr>
          <w:rFonts w:cs="B Zar"/>
          <w:b w:val="0"/>
          <w:bCs w:val="0"/>
          <w:i/>
          <w:iCs/>
        </w:rPr>
        <w:t>*Materials and Metallurgical Engineering Department, Iran University of Science and Technology, Tehran, Iran.</w:t>
      </w:r>
    </w:p>
    <w:p w:rsidR="00D95C3C" w:rsidRPr="00CE28C1" w:rsidRDefault="00D95C3C" w:rsidP="00D95C3C">
      <w:pPr>
        <w:pStyle w:val="a9"/>
        <w:rPr>
          <w:rFonts w:cs="B Zar"/>
          <w:b w:val="0"/>
          <w:bCs w:val="0"/>
          <w:i/>
          <w:iCs/>
          <w:rtl/>
        </w:rPr>
      </w:pPr>
      <w:r w:rsidRPr="00CE28C1">
        <w:rPr>
          <w:rFonts w:cs="B Zar"/>
          <w:b w:val="0"/>
          <w:bCs w:val="0"/>
          <w:i/>
          <w:iCs/>
        </w:rPr>
        <w:t>mojtahedi@iust.ac.ir</w:t>
      </w:r>
    </w:p>
    <w:p w:rsidR="00D95C3C" w:rsidRPr="00CE28C1" w:rsidRDefault="00D95C3C" w:rsidP="00D95C3C">
      <w:pPr>
        <w:pStyle w:val="aa"/>
        <w:rPr>
          <w:rFonts w:cs="B Zar"/>
          <w:rtl/>
        </w:rPr>
      </w:pPr>
      <w:r w:rsidRPr="00CE28C1">
        <w:rPr>
          <w:rFonts w:cs="B Zar"/>
        </w:rPr>
        <w:t>Abstract</w:t>
      </w:r>
    </w:p>
    <w:p w:rsidR="00D95C3C" w:rsidRPr="00CE28C1" w:rsidRDefault="00D95C3C" w:rsidP="00D95C3C">
      <w:pPr>
        <w:pStyle w:val="ab"/>
        <w:jc w:val="both"/>
        <w:rPr>
          <w:rFonts w:cs="B Zar"/>
          <w:b/>
          <w:bCs/>
        </w:rPr>
      </w:pPr>
      <w:r w:rsidRPr="00CE28C1">
        <w:rPr>
          <w:rFonts w:cs="B Zar"/>
        </w:rPr>
        <w:t xml:space="preserve">A research conducted to produce zinc powder through electrolysis of alkaline solutions by using various concentrations of KOH and zincate in the bath. Different current densities were applied for each concentration and then, morphological changes of Zn powder batches were examined by scanning electron microscopy. Afterward, an anode electrode was produced from each pack of powder. Thirty six Zn-AgO battery cells were prepared totally. Discharge parameters of the cells were examined and time-voltage curves were analyzed. Discharge times were investigated for various conditions of Zn deposition and the proper terms were suggested. It has been seen that increase of KOH concentration and decrease of zincate ion in the bath solution will change the zinc morphology and increase the resultant battery discharge time. The longest time of discharge, before reduction of cell voltage to 1.25V, was 7.91 minutes. </w:t>
      </w:r>
    </w:p>
    <w:p w:rsidR="00D95C3C" w:rsidRPr="00CE28C1" w:rsidRDefault="00D95C3C" w:rsidP="00D95C3C">
      <w:pPr>
        <w:pStyle w:val="ab"/>
        <w:jc w:val="both"/>
        <w:rPr>
          <w:rFonts w:cs="B Zar"/>
          <w:b/>
          <w:bCs/>
        </w:rPr>
      </w:pPr>
    </w:p>
    <w:p w:rsidR="00D95C3C" w:rsidRPr="00CE28C1" w:rsidRDefault="00D95C3C" w:rsidP="00D95C3C">
      <w:pPr>
        <w:pStyle w:val="ab"/>
        <w:rPr>
          <w:rFonts w:cs="B Zar"/>
        </w:rPr>
      </w:pPr>
      <w:r w:rsidRPr="00CE28C1">
        <w:rPr>
          <w:rFonts w:cs="B Zar"/>
          <w:b/>
          <w:bCs/>
        </w:rPr>
        <w:t>Keywords:</w:t>
      </w:r>
      <w:r w:rsidRPr="00CE28C1">
        <w:rPr>
          <w:rFonts w:cs="B Zar"/>
        </w:rPr>
        <w:t xml:space="preserve"> Electrolytic zinc powder, morphology, specific surface, zinc-silver battery, discharge time.</w:t>
      </w:r>
    </w:p>
    <w:p w:rsidR="00D95C3C" w:rsidRPr="00CE28C1" w:rsidRDefault="00D95C3C" w:rsidP="00D95C3C">
      <w:pPr>
        <w:pStyle w:val="a5"/>
        <w:jc w:val="both"/>
        <w:rPr>
          <w:rFonts w:cs="B Zar"/>
          <w:szCs w:val="22"/>
        </w:rPr>
      </w:pPr>
    </w:p>
    <w:p w:rsidR="006D0DB5" w:rsidRDefault="006D0DB5"/>
    <w:sectPr w:rsidR="006D0DB5" w:rsidSect="005E2E21">
      <w:headerReference w:type="default" r:id="rId2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2D1" w:rsidRDefault="00AA02D1" w:rsidP="00D95C3C">
      <w:pPr>
        <w:spacing w:after="0" w:line="240" w:lineRule="auto"/>
      </w:pPr>
      <w:r>
        <w:separator/>
      </w:r>
    </w:p>
  </w:endnote>
  <w:endnote w:type="continuationSeparator" w:id="1">
    <w:p w:rsidR="00AA02D1" w:rsidRDefault="00AA02D1" w:rsidP="00D95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Zar">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2D1" w:rsidRDefault="00AA02D1" w:rsidP="00D95C3C">
      <w:pPr>
        <w:spacing w:after="0" w:line="240" w:lineRule="auto"/>
      </w:pPr>
      <w:r>
        <w:separator/>
      </w:r>
    </w:p>
  </w:footnote>
  <w:footnote w:type="continuationSeparator" w:id="1">
    <w:p w:rsidR="00AA02D1" w:rsidRDefault="00AA02D1" w:rsidP="00D95C3C">
      <w:pPr>
        <w:spacing w:after="0" w:line="240" w:lineRule="auto"/>
      </w:pPr>
      <w:r>
        <w:continuationSeparator/>
      </w:r>
    </w:p>
  </w:footnote>
  <w:footnote w:id="2">
    <w:p w:rsidR="00D95C3C" w:rsidRPr="00B663BF" w:rsidRDefault="00D95C3C" w:rsidP="00D95C3C">
      <w:pPr>
        <w:pStyle w:val="a2"/>
        <w:bidi/>
        <w:rPr>
          <w:rFonts w:cs="B Zar"/>
          <w:rtl/>
        </w:rPr>
      </w:pPr>
      <w:r w:rsidRPr="00B663BF">
        <w:rPr>
          <w:rStyle w:val="FootnoteReference"/>
          <w:rFonts w:cs="B Zar"/>
        </w:rPr>
        <w:footnoteRef/>
      </w:r>
      <w:r w:rsidRPr="00B663BF">
        <w:rPr>
          <w:rFonts w:cs="B Zar"/>
        </w:rPr>
        <w:t xml:space="preserve"> </w:t>
      </w:r>
      <w:r w:rsidRPr="00B663BF">
        <w:rPr>
          <w:rFonts w:cs="B Zar" w:hint="cs"/>
          <w:rtl/>
        </w:rPr>
        <w:t>- دانش آموخته کارشناسي ارشد مهندسي و علم مواد، دانشگاه علم و صنعت ايران.</w:t>
      </w:r>
    </w:p>
  </w:footnote>
  <w:footnote w:id="3">
    <w:p w:rsidR="00D95C3C" w:rsidRPr="00B663BF" w:rsidRDefault="00D95C3C" w:rsidP="00D95C3C">
      <w:pPr>
        <w:pStyle w:val="a2"/>
        <w:bidi/>
        <w:rPr>
          <w:rFonts w:cs="B Zar"/>
          <w:lang w:val="en-US"/>
        </w:rPr>
      </w:pPr>
      <w:r w:rsidRPr="00B663BF">
        <w:rPr>
          <w:rStyle w:val="FootnoteReference"/>
          <w:rFonts w:cs="B Zar"/>
        </w:rPr>
        <w:footnoteRef/>
      </w:r>
      <w:r w:rsidRPr="00B663BF">
        <w:rPr>
          <w:rFonts w:cs="B Zar"/>
        </w:rPr>
        <w:t xml:space="preserve"> </w:t>
      </w:r>
      <w:r w:rsidRPr="00B663BF">
        <w:rPr>
          <w:rFonts w:cs="B Zar" w:hint="cs"/>
          <w:rtl/>
        </w:rPr>
        <w:t xml:space="preserve">- دانشجوي دکتري مهندسي و علم مواد، دانشگاه علم و صنعت ايران، </w:t>
      </w:r>
      <w:r w:rsidRPr="00B663BF">
        <w:rPr>
          <w:rFonts w:cs="B Zar"/>
          <w:lang w:val="en-US"/>
        </w:rPr>
        <w:t>mojtahedi@iust.ac.ir</w:t>
      </w:r>
      <w:r w:rsidRPr="00B663BF">
        <w:rPr>
          <w:rFonts w:cs="B Zar" w:hint="cs"/>
          <w:rtl/>
          <w:lang w:val="en-US"/>
        </w:rPr>
        <w:t xml:space="preserve"> .</w:t>
      </w:r>
    </w:p>
  </w:footnote>
  <w:footnote w:id="4">
    <w:p w:rsidR="00D95C3C" w:rsidRPr="00B663BF" w:rsidRDefault="00D95C3C" w:rsidP="00D95C3C">
      <w:pPr>
        <w:pStyle w:val="a2"/>
        <w:bidi/>
        <w:rPr>
          <w:rFonts w:cs="B Zar"/>
          <w:rtl/>
        </w:rPr>
      </w:pPr>
      <w:r w:rsidRPr="00B663BF">
        <w:rPr>
          <w:rStyle w:val="FootnoteReference"/>
          <w:rFonts w:cs="B Zar"/>
        </w:rPr>
        <w:footnoteRef/>
      </w:r>
      <w:r w:rsidRPr="00B663BF">
        <w:rPr>
          <w:rFonts w:cs="B Zar"/>
        </w:rPr>
        <w:t xml:space="preserve"> </w:t>
      </w:r>
      <w:r w:rsidRPr="00B663BF">
        <w:rPr>
          <w:rFonts w:cs="B Zar" w:hint="cs"/>
          <w:rtl/>
        </w:rPr>
        <w:t>- استاديار دانشکده مهندسي متالورژي و مواد، دانشگاه علم و صنعت ايران.</w:t>
      </w:r>
    </w:p>
  </w:footnote>
  <w:footnote w:id="5">
    <w:p w:rsidR="00D95C3C" w:rsidRPr="001A4FCA" w:rsidRDefault="00D95C3C" w:rsidP="00D95C3C">
      <w:pPr>
        <w:pStyle w:val="a2"/>
        <w:bidi/>
        <w:rPr>
          <w:rFonts w:cs="B Zar"/>
          <w:rtl/>
        </w:rPr>
      </w:pPr>
      <w:r w:rsidRPr="00B663BF">
        <w:rPr>
          <w:rStyle w:val="FootnoteReference"/>
          <w:rFonts w:cs="B Zar"/>
        </w:rPr>
        <w:footnoteRef/>
      </w:r>
      <w:r w:rsidRPr="00B663BF">
        <w:rPr>
          <w:rFonts w:cs="B Zar"/>
        </w:rPr>
        <w:t xml:space="preserve"> </w:t>
      </w:r>
      <w:r w:rsidRPr="00B663BF">
        <w:rPr>
          <w:rFonts w:cs="B Zar" w:hint="cs"/>
          <w:rtl/>
        </w:rPr>
        <w:t>- استاد گروه مهندسي و علم مواد، دانشکده مهندسي دانشگاه فردوسي مشهد.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C3C" w:rsidRPr="00C9599C" w:rsidRDefault="00D95C3C" w:rsidP="00D95C3C">
    <w:pPr>
      <w:pStyle w:val="Header"/>
      <w:rPr>
        <w:rFonts w:cs="B Zar"/>
        <w:lang w:bidi="fa-IR"/>
      </w:rPr>
    </w:pPr>
    <w:r w:rsidRPr="00C9599C">
      <w:rPr>
        <w:rFonts w:cs="B Zar" w:hint="cs"/>
        <w:sz w:val="20"/>
        <w:rtl/>
        <w:lang w:bidi="fa-IR"/>
      </w:rPr>
      <w:t>چهارمين همايش مشترک انجمن مهندسين متالورژي و جامعه علمي ريخته گري ايران</w:t>
    </w:r>
  </w:p>
  <w:p w:rsidR="00D95C3C" w:rsidRDefault="00D95C3C" w:rsidP="00D95C3C">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C1E53"/>
    <w:multiLevelType w:val="multilevel"/>
    <w:tmpl w:val="FCF016D6"/>
    <w:lvl w:ilvl="0">
      <w:start w:val="1"/>
      <w:numFmt w:val="decimal"/>
      <w:suff w:val="space"/>
      <w:lvlText w:val="فصل%1 ."/>
      <w:lvlJc w:val="left"/>
      <w:pPr>
        <w:ind w:left="0" w:firstLine="0"/>
      </w:pPr>
      <w:rPr>
        <w:rFonts w:ascii="Times New Roman" w:hAnsi="Times New Roman" w:cs="B Titr" w:hint="default"/>
        <w:b w:val="0"/>
        <w:bCs/>
        <w:i w:val="0"/>
        <w:iCs w:val="0"/>
        <w:caps w:val="0"/>
        <w:smallCaps w:val="0"/>
        <w:strike w:val="0"/>
        <w:dstrike w:val="0"/>
        <w:outline w:val="0"/>
        <w:shadow w:val="0"/>
        <w:emboss w:val="0"/>
        <w:imprint w:val="0"/>
        <w:noProof w:val="0"/>
        <w:snapToGrid w:val="0"/>
        <w:vanish w:val="0"/>
        <w:color w:val="000000"/>
        <w:spacing w:val="0"/>
        <w:w w:val="0"/>
        <w:kern w:val="0"/>
        <w:position w:val="0"/>
        <w:szCs w:val="36"/>
        <w:u w:val="none"/>
        <w:vertAlign w:val="baseline"/>
        <w:em w:val="none"/>
      </w:rPr>
    </w:lvl>
    <w:lvl w:ilvl="1">
      <w:start w:val="1"/>
      <w:numFmt w:val="decimal"/>
      <w:pStyle w:val="Ctrl2"/>
      <w:suff w:val="space"/>
      <w:lvlText w:val="%2."/>
      <w:lvlJc w:val="left"/>
      <w:pPr>
        <w:ind w:left="0" w:firstLine="0"/>
      </w:pPr>
      <w:rPr>
        <w:rFonts w:ascii="Arial" w:hAnsi="Arial" w:cs="B Nazanin" w:hint="default"/>
        <w:b/>
        <w:bCs/>
        <w:i w:val="0"/>
        <w:iCs w:val="0"/>
        <w:sz w:val="32"/>
        <w:szCs w:val="32"/>
      </w:rPr>
    </w:lvl>
    <w:lvl w:ilvl="2">
      <w:start w:val="1"/>
      <w:numFmt w:val="decimal"/>
      <w:pStyle w:val="Ctrl3"/>
      <w:suff w:val="space"/>
      <w:lvlText w:val="%2-%3."/>
      <w:lvlJc w:val="left"/>
      <w:pPr>
        <w:ind w:left="0" w:firstLine="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26"/>
        <w:szCs w:val="30"/>
        <w:u w:val="none"/>
        <w:vertAlign w:val="baseline"/>
        <w:em w:val="none"/>
        <w:lang w:bidi="fa-IR"/>
      </w:rPr>
    </w:lvl>
    <w:lvl w:ilvl="3">
      <w:start w:val="1"/>
      <w:numFmt w:val="decimal"/>
      <w:pStyle w:val="Ctrl4"/>
      <w:suff w:val="space"/>
      <w:lvlText w:val="%2-%3-%4."/>
      <w:lvlJc w:val="left"/>
      <w:pPr>
        <w:ind w:left="0" w:firstLine="0"/>
      </w:pPr>
      <w:rPr>
        <w:rFonts w:ascii="Times New Roman" w:hAnsi="Times New Roman" w:cs="B Nazanin" w:hint="default"/>
        <w:b/>
        <w:bCs/>
        <w:i w:val="0"/>
        <w:iCs w:val="0"/>
        <w:sz w:val="24"/>
        <w:szCs w:val="28"/>
      </w:rPr>
    </w:lvl>
    <w:lvl w:ilvl="4">
      <w:start w:val="1"/>
      <w:numFmt w:val="decimal"/>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pStyle w:val="Ctrl6"/>
      <w:suff w:val="space"/>
      <w:lvlText w:val="شکل%6."/>
      <w:lvlJc w:val="left"/>
      <w:pPr>
        <w:ind w:left="0" w:firstLine="0"/>
      </w:pPr>
      <w:rPr>
        <w:rFonts w:ascii="Times New Roman" w:hAnsi="Times New Roman" w:cs="B Nazanin" w:hint="default"/>
        <w:b/>
        <w:bCs/>
        <w:i w:val="0"/>
        <w:iCs w:val="0"/>
        <w:sz w:val="20"/>
        <w:szCs w:val="24"/>
      </w:rPr>
    </w:lvl>
    <w:lvl w:ilvl="6">
      <w:start w:val="1"/>
      <w:numFmt w:val="decimal"/>
      <w:lvlRestart w:val="1"/>
      <w:pStyle w:val="Ctrl7"/>
      <w:suff w:val="space"/>
      <w:lvlText w:val="جدول%7."/>
      <w:lvlJc w:val="left"/>
      <w:pPr>
        <w:ind w:left="0" w:firstLine="0"/>
      </w:pPr>
      <w:rPr>
        <w:rFonts w:ascii="Arial" w:hAnsi="Arial" w:cs="B Nazanin" w:hint="default"/>
        <w:b/>
        <w:bCs/>
        <w:i w:val="0"/>
        <w:iCs w:val="0"/>
        <w:sz w:val="20"/>
        <w:szCs w:val="24"/>
        <w:lang w:bidi="ar-SA"/>
      </w:rPr>
    </w:lvl>
    <w:lvl w:ilvl="7">
      <w:start w:val="1"/>
      <w:numFmt w:val="decimal"/>
      <w:lvlRestart w:val="1"/>
      <w:pStyle w:val="Ctrl8andCtrlTab"/>
      <w:suff w:val="space"/>
      <w:lvlText w:val="(%8)"/>
      <w:lvlJc w:val="left"/>
      <w:pPr>
        <w:ind w:left="142"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8">
      <w:start w:val="1"/>
      <w:numFmt w:val="lowerRoman"/>
      <w:suff w:val="space"/>
      <w:lvlText w:val="%9."/>
      <w:lvlJc w:val="left"/>
      <w:pPr>
        <w:ind w:left="0" w:firstLine="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D0DB5"/>
    <w:rsid w:val="004245DF"/>
    <w:rsid w:val="005E2E21"/>
    <w:rsid w:val="006D0DB5"/>
    <w:rsid w:val="00A06D62"/>
    <w:rsid w:val="00AA02D1"/>
    <w:rsid w:val="00D95C3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E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DB5"/>
    <w:rPr>
      <w:rFonts w:ascii="Tahoma" w:hAnsi="Tahoma" w:cs="Tahoma"/>
      <w:sz w:val="16"/>
      <w:szCs w:val="16"/>
    </w:rPr>
  </w:style>
  <w:style w:type="paragraph" w:customStyle="1" w:styleId="Ctrl0">
    <w:name w:val="[Ctrl+0] متن"/>
    <w:rsid w:val="00D95C3C"/>
    <w:pPr>
      <w:widowControl w:val="0"/>
      <w:bidi/>
      <w:spacing w:after="280" w:line="240" w:lineRule="auto"/>
      <w:ind w:firstLine="397"/>
      <w:contextualSpacing/>
      <w:jc w:val="lowKashida"/>
    </w:pPr>
    <w:rPr>
      <w:rFonts w:ascii="Times New Roman" w:eastAsia="Times New Roman" w:hAnsi="Times New Roman" w:cs="Zar"/>
      <w:sz w:val="24"/>
      <w:szCs w:val="28"/>
    </w:rPr>
  </w:style>
  <w:style w:type="paragraph" w:customStyle="1" w:styleId="a">
    <w:name w:val="متن داخل نمودار و شکل"/>
    <w:rsid w:val="00D95C3C"/>
    <w:pPr>
      <w:bidi/>
      <w:spacing w:before="40" w:after="0" w:line="204" w:lineRule="auto"/>
      <w:contextualSpacing/>
    </w:pPr>
    <w:rPr>
      <w:rFonts w:ascii="Times New Roman" w:eastAsia="Times New Roman" w:hAnsi="Times New Roman" w:cs="B Mitra"/>
      <w:sz w:val="18"/>
      <w:szCs w:val="20"/>
    </w:rPr>
  </w:style>
  <w:style w:type="paragraph" w:customStyle="1" w:styleId="a0">
    <w:name w:val="عنوان انگلیسی مقاله"/>
    <w:basedOn w:val="a1"/>
    <w:autoRedefine/>
    <w:rsid w:val="00D95C3C"/>
    <w:pPr>
      <w:bidi w:val="0"/>
      <w:spacing w:before="1600"/>
    </w:pPr>
    <w:rPr>
      <w:sz w:val="32"/>
      <w:szCs w:val="36"/>
    </w:rPr>
  </w:style>
  <w:style w:type="paragraph" w:customStyle="1" w:styleId="a1">
    <w:name w:val="عنوان مقاله"/>
    <w:basedOn w:val="Normal"/>
    <w:next w:val="Normal"/>
    <w:rsid w:val="00D95C3C"/>
    <w:pPr>
      <w:widowControl w:val="0"/>
      <w:bidi/>
      <w:spacing w:before="1280" w:after="320" w:line="240" w:lineRule="auto"/>
      <w:jc w:val="center"/>
    </w:pPr>
    <w:rPr>
      <w:rFonts w:ascii="Times New Roman" w:eastAsia="Times New Roman" w:hAnsi="Times New Roman" w:cs="Zar"/>
      <w:b/>
      <w:bCs/>
      <w:sz w:val="28"/>
      <w:szCs w:val="32"/>
      <w:lang w:bidi="fa-IR"/>
    </w:rPr>
  </w:style>
  <w:style w:type="paragraph" w:customStyle="1" w:styleId="Ctrl8andCtrlTab">
    <w:name w:val="[Ctrl+8]and[Ctrl+Tab] فرمول"/>
    <w:next w:val="Ctrl0"/>
    <w:rsid w:val="00D95C3C"/>
    <w:pPr>
      <w:widowControl w:val="0"/>
      <w:numPr>
        <w:ilvl w:val="7"/>
        <w:numId w:val="1"/>
      </w:numPr>
      <w:tabs>
        <w:tab w:val="right" w:pos="8505"/>
      </w:tabs>
      <w:kinsoku w:val="0"/>
      <w:overflowPunct w:val="0"/>
      <w:autoSpaceDE w:val="0"/>
      <w:autoSpaceDN w:val="0"/>
      <w:bidi/>
      <w:adjustRightInd w:val="0"/>
      <w:snapToGrid w:val="0"/>
      <w:spacing w:after="280" w:line="240" w:lineRule="auto"/>
      <w:ind w:left="0"/>
      <w:textAlignment w:val="center"/>
      <w:outlineLvl w:val="7"/>
    </w:pPr>
    <w:rPr>
      <w:rFonts w:ascii="Times New Roman" w:eastAsia="Times New Roman" w:hAnsi="Times New Roman" w:cs="Zar"/>
      <w:bCs/>
      <w:sz w:val="24"/>
      <w:szCs w:val="24"/>
      <w:lang w:bidi="fa-IR"/>
    </w:rPr>
  </w:style>
  <w:style w:type="paragraph" w:customStyle="1" w:styleId="Ctrl6">
    <w:name w:val="[Ctrl+6] عنوان شکل"/>
    <w:next w:val="Ctrl0"/>
    <w:rsid w:val="00D95C3C"/>
    <w:pPr>
      <w:widowControl w:val="0"/>
      <w:numPr>
        <w:ilvl w:val="5"/>
        <w:numId w:val="1"/>
      </w:numPr>
      <w:bidi/>
      <w:adjustRightInd w:val="0"/>
      <w:snapToGrid w:val="0"/>
      <w:spacing w:after="280" w:line="240" w:lineRule="auto"/>
      <w:jc w:val="center"/>
      <w:outlineLvl w:val="5"/>
    </w:pPr>
    <w:rPr>
      <w:rFonts w:ascii="Times New Roman" w:eastAsia="Times New Roman" w:hAnsi="Times New Roman" w:cs="Zar"/>
      <w:b/>
      <w:bCs/>
      <w:sz w:val="18"/>
      <w:szCs w:val="20"/>
      <w:lang w:bidi="fa-IR"/>
    </w:rPr>
  </w:style>
  <w:style w:type="paragraph" w:customStyle="1" w:styleId="Ctrl4">
    <w:name w:val="[Ctrl+4] تيتر سوم"/>
    <w:basedOn w:val="Ctrl0"/>
    <w:next w:val="Ctrl0"/>
    <w:rsid w:val="00D95C3C"/>
    <w:pPr>
      <w:keepNext/>
      <w:numPr>
        <w:ilvl w:val="3"/>
        <w:numId w:val="1"/>
      </w:numPr>
      <w:jc w:val="left"/>
      <w:outlineLvl w:val="3"/>
    </w:pPr>
    <w:rPr>
      <w:rFonts w:ascii="Arial" w:hAnsi="Arial"/>
    </w:rPr>
  </w:style>
  <w:style w:type="paragraph" w:customStyle="1" w:styleId="Ctrl3">
    <w:name w:val="[Ctrl+3] تیتر دوم"/>
    <w:next w:val="Ctrl0"/>
    <w:rsid w:val="00D95C3C"/>
    <w:pPr>
      <w:keepNext/>
      <w:widowControl w:val="0"/>
      <w:numPr>
        <w:ilvl w:val="2"/>
        <w:numId w:val="1"/>
      </w:numPr>
      <w:bidi/>
      <w:spacing w:after="280" w:line="240" w:lineRule="auto"/>
      <w:outlineLvl w:val="2"/>
    </w:pPr>
    <w:rPr>
      <w:rFonts w:ascii="Times New Roman" w:eastAsia="Times New Roman" w:hAnsi="Times New Roman" w:cs="Zar"/>
      <w:b/>
      <w:bCs/>
      <w:szCs w:val="24"/>
    </w:rPr>
  </w:style>
  <w:style w:type="paragraph" w:customStyle="1" w:styleId="Ctrl2">
    <w:name w:val="[Ctrl+2] تيتر اول"/>
    <w:next w:val="Ctrl0"/>
    <w:autoRedefine/>
    <w:rsid w:val="00D95C3C"/>
    <w:pPr>
      <w:keepNext/>
      <w:widowControl w:val="0"/>
      <w:numPr>
        <w:ilvl w:val="1"/>
        <w:numId w:val="1"/>
      </w:numPr>
      <w:bidi/>
      <w:spacing w:after="280" w:line="240" w:lineRule="auto"/>
      <w:outlineLvl w:val="1"/>
    </w:pPr>
    <w:rPr>
      <w:rFonts w:ascii="Times New Roman" w:eastAsia="Times New Roman" w:hAnsi="Times New Roman" w:cs="Zar"/>
      <w:b/>
      <w:bCs/>
      <w:sz w:val="24"/>
      <w:szCs w:val="28"/>
      <w:lang w:bidi="fa-IR"/>
    </w:rPr>
  </w:style>
  <w:style w:type="paragraph" w:customStyle="1" w:styleId="a2">
    <w:name w:val="پاورقي"/>
    <w:rsid w:val="00D95C3C"/>
    <w:pPr>
      <w:spacing w:after="0" w:line="240" w:lineRule="auto"/>
    </w:pPr>
    <w:rPr>
      <w:rFonts w:ascii="Times New Roman" w:eastAsia="Times New Roman" w:hAnsi="Times New Roman" w:cs="Zar"/>
      <w:sz w:val="18"/>
      <w:lang w:val="de-DE" w:bidi="fa-IR"/>
    </w:rPr>
  </w:style>
  <w:style w:type="paragraph" w:customStyle="1" w:styleId="Ctrl7">
    <w:name w:val="[Ctrl+7] عنوان جدول"/>
    <w:next w:val="Normal"/>
    <w:rsid w:val="00D95C3C"/>
    <w:pPr>
      <w:keepNext/>
      <w:numPr>
        <w:ilvl w:val="6"/>
        <w:numId w:val="1"/>
      </w:numPr>
      <w:bidi/>
      <w:spacing w:before="280" w:after="0" w:line="240" w:lineRule="auto"/>
      <w:contextualSpacing/>
      <w:jc w:val="center"/>
      <w:outlineLvl w:val="7"/>
    </w:pPr>
    <w:rPr>
      <w:rFonts w:ascii="Times New Roman" w:eastAsia="Times New Roman" w:hAnsi="Times New Roman" w:cs="Zar"/>
      <w:b/>
      <w:bCs/>
      <w:sz w:val="18"/>
      <w:szCs w:val="20"/>
      <w:lang w:bidi="fa-IR"/>
    </w:rPr>
  </w:style>
  <w:style w:type="character" w:styleId="FootnoteReference">
    <w:name w:val="footnote reference"/>
    <w:basedOn w:val="DefaultParagraphFont"/>
    <w:uiPriority w:val="99"/>
    <w:semiHidden/>
    <w:rsid w:val="00D95C3C"/>
    <w:rPr>
      <w:vertAlign w:val="superscript"/>
    </w:rPr>
  </w:style>
  <w:style w:type="paragraph" w:customStyle="1" w:styleId="a3">
    <w:name w:val="نام نویسندگان انگلیسی"/>
    <w:basedOn w:val="a4"/>
    <w:qFormat/>
    <w:rsid w:val="00D95C3C"/>
    <w:pPr>
      <w:spacing w:after="0"/>
    </w:pPr>
    <w:rPr>
      <w:sz w:val="24"/>
      <w:szCs w:val="28"/>
    </w:rPr>
  </w:style>
  <w:style w:type="paragraph" w:customStyle="1" w:styleId="a4">
    <w:name w:val="نام نویسندگان"/>
    <w:basedOn w:val="Ctrl0"/>
    <w:autoRedefine/>
    <w:qFormat/>
    <w:rsid w:val="00D95C3C"/>
    <w:pPr>
      <w:spacing w:after="960"/>
      <w:ind w:firstLine="0"/>
      <w:jc w:val="center"/>
    </w:pPr>
    <w:rPr>
      <w:b/>
      <w:bCs/>
      <w:sz w:val="20"/>
      <w:szCs w:val="24"/>
    </w:rPr>
  </w:style>
  <w:style w:type="paragraph" w:customStyle="1" w:styleId="a5">
    <w:name w:val="مرجع"/>
    <w:qFormat/>
    <w:rsid w:val="00D95C3C"/>
    <w:pPr>
      <w:widowControl w:val="0"/>
      <w:autoSpaceDE w:val="0"/>
      <w:autoSpaceDN w:val="0"/>
      <w:adjustRightInd w:val="0"/>
      <w:spacing w:after="0" w:line="240" w:lineRule="auto"/>
      <w:jc w:val="right"/>
    </w:pPr>
    <w:rPr>
      <w:rFonts w:ascii="Times New Roman" w:eastAsia="Times New Roman" w:hAnsi="Times New Roman" w:cs="Zar"/>
      <w:szCs w:val="26"/>
      <w:lang w:bidi="fa-IR"/>
    </w:rPr>
  </w:style>
  <w:style w:type="paragraph" w:customStyle="1" w:styleId="a6">
    <w:name w:val="عنوان چکیده"/>
    <w:basedOn w:val="Ctrl0"/>
    <w:qFormat/>
    <w:rsid w:val="00D95C3C"/>
    <w:pPr>
      <w:ind w:firstLine="0"/>
    </w:pPr>
    <w:rPr>
      <w:b/>
      <w:bCs/>
      <w:lang w:bidi="fa-IR"/>
    </w:rPr>
  </w:style>
  <w:style w:type="paragraph" w:customStyle="1" w:styleId="a7">
    <w:name w:val="متن چکیده"/>
    <w:basedOn w:val="Ctrl0"/>
    <w:qFormat/>
    <w:rsid w:val="00D95C3C"/>
    <w:pPr>
      <w:spacing w:after="240"/>
      <w:ind w:left="567" w:right="567" w:firstLine="0"/>
    </w:pPr>
    <w:rPr>
      <w:szCs w:val="24"/>
    </w:rPr>
  </w:style>
  <w:style w:type="paragraph" w:customStyle="1" w:styleId="a8">
    <w:name w:val="واژه های کلیدی"/>
    <w:basedOn w:val="Ctrl0"/>
    <w:qFormat/>
    <w:rsid w:val="00D95C3C"/>
    <w:rPr>
      <w:sz w:val="20"/>
      <w:szCs w:val="22"/>
    </w:rPr>
  </w:style>
  <w:style w:type="paragraph" w:customStyle="1" w:styleId="a9">
    <w:name w:val="مشخصات انگلیسی نویسندگان"/>
    <w:next w:val="Normal"/>
    <w:autoRedefine/>
    <w:qFormat/>
    <w:rsid w:val="00D95C3C"/>
    <w:pPr>
      <w:bidi/>
      <w:spacing w:after="800" w:line="240" w:lineRule="auto"/>
      <w:contextualSpacing/>
      <w:jc w:val="center"/>
    </w:pPr>
    <w:rPr>
      <w:rFonts w:ascii="Times New Roman" w:eastAsia="Times New Roman" w:hAnsi="Times New Roman" w:cs="Times New Roman"/>
      <w:b/>
      <w:bCs/>
      <w:color w:val="000000"/>
      <w:sz w:val="20"/>
      <w:szCs w:val="20"/>
    </w:rPr>
  </w:style>
  <w:style w:type="paragraph" w:customStyle="1" w:styleId="aa">
    <w:name w:val="عنوان چکیده انگلیسی"/>
    <w:basedOn w:val="Normal"/>
    <w:qFormat/>
    <w:rsid w:val="00D95C3C"/>
    <w:pPr>
      <w:spacing w:after="0" w:line="240" w:lineRule="auto"/>
    </w:pPr>
    <w:rPr>
      <w:rFonts w:ascii="Times New Roman" w:eastAsia="Times New Roman" w:hAnsi="Times New Roman" w:cs="Times New Roman"/>
      <w:b/>
      <w:bCs/>
      <w:sz w:val="24"/>
      <w:szCs w:val="24"/>
    </w:rPr>
  </w:style>
  <w:style w:type="paragraph" w:customStyle="1" w:styleId="ab">
    <w:name w:val="متن چکیده انگلیسی"/>
    <w:basedOn w:val="aa"/>
    <w:qFormat/>
    <w:rsid w:val="00D95C3C"/>
    <w:pPr>
      <w:spacing w:after="200"/>
      <w:contextualSpacing/>
    </w:pPr>
    <w:rPr>
      <w:b w:val="0"/>
      <w:bCs w:val="0"/>
      <w:sz w:val="20"/>
      <w:szCs w:val="20"/>
      <w:lang w:val="da-DK"/>
    </w:rPr>
  </w:style>
  <w:style w:type="character" w:styleId="Strong">
    <w:name w:val="Strong"/>
    <w:basedOn w:val="DefaultParagraphFont"/>
    <w:qFormat/>
    <w:rsid w:val="00D95C3C"/>
    <w:rPr>
      <w:b/>
      <w:bCs/>
    </w:rPr>
  </w:style>
  <w:style w:type="character" w:customStyle="1" w:styleId="txtboldonly">
    <w:name w:val="txtboldonly"/>
    <w:basedOn w:val="DefaultParagraphFont"/>
    <w:rsid w:val="00D95C3C"/>
  </w:style>
  <w:style w:type="paragraph" w:styleId="Header">
    <w:name w:val="header"/>
    <w:basedOn w:val="Normal"/>
    <w:link w:val="HeaderChar"/>
    <w:unhideWhenUsed/>
    <w:rsid w:val="00D95C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5C3C"/>
  </w:style>
  <w:style w:type="paragraph" w:styleId="Footer">
    <w:name w:val="footer"/>
    <w:basedOn w:val="Normal"/>
    <w:link w:val="FooterChar"/>
    <w:uiPriority w:val="99"/>
    <w:semiHidden/>
    <w:unhideWhenUsed/>
    <w:rsid w:val="00D95C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5C3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1644</Words>
  <Characters>9373</Characters>
  <Application>Microsoft Office Word</Application>
  <DocSecurity>0</DocSecurity>
  <Lines>78</Lines>
  <Paragraphs>21</Paragraphs>
  <ScaleCrop>false</ScaleCrop>
  <Company>mo</Company>
  <LinksUpToDate>false</LinksUpToDate>
  <CharactersWithSpaces>10996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dc:creator>
  <cp:keywords/>
  <dc:description/>
  <cp:lastModifiedBy>sr</cp:lastModifiedBy>
  <cp:revision>2</cp:revision>
  <dcterms:created xsi:type="dcterms:W3CDTF">2010-12-04T08:55:00Z</dcterms:created>
  <dcterms:modified xsi:type="dcterms:W3CDTF">2010-12-04T09:03:00Z</dcterms:modified>
</cp:coreProperties>
</file>