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The effect of dietary level of steam treated sugarcane pith on digestibility and ruminal passage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</w:rPr>
        <w:t>rate</w:t>
      </w:r>
      <w:proofErr w:type="gramEnd"/>
      <w:r>
        <w:rPr>
          <w:rFonts w:ascii="TimesNewRomanPS-BoldMT" w:hAnsi="TimesNewRomanPS-BoldMT" w:cs="TimesNewRomanPS-BoldMT"/>
          <w:b/>
          <w:bCs/>
          <w:sz w:val="24"/>
        </w:rPr>
        <w:t xml:space="preserve"> in Iranian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</w:rPr>
        <w:t>Baluchi</w:t>
      </w:r>
      <w:proofErr w:type="spellEnd"/>
      <w:r>
        <w:rPr>
          <w:rFonts w:ascii="TimesNewRomanPS-BoldMT" w:hAnsi="TimesNewRomanPS-BoldMT" w:cs="TimesNewRomanPS-BoldMT"/>
          <w:b/>
          <w:bCs/>
          <w:sz w:val="24"/>
        </w:rPr>
        <w:t xml:space="preserve"> sheep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20"/>
          <w:szCs w:val="20"/>
        </w:rPr>
        <w:t>M. Chaji</w:t>
      </w:r>
      <w:r>
        <w:rPr>
          <w:rFonts w:ascii="TimesNewRomanPSMT" w:hAnsi="TimesNewRomanPSMT" w:cs="TimesNewRomanPSMT"/>
          <w:sz w:val="13"/>
          <w:szCs w:val="13"/>
        </w:rPr>
        <w:t>1</w:t>
      </w:r>
      <w:r>
        <w:rPr>
          <w:rFonts w:ascii="TimesNewRomanPSMT" w:hAnsi="TimesNewRomanPSMT" w:cs="TimesNewRomanPSMT"/>
          <w:sz w:val="20"/>
          <w:szCs w:val="20"/>
        </w:rPr>
        <w:t>, A.A. Naserian</w:t>
      </w:r>
      <w:r>
        <w:rPr>
          <w:rFonts w:ascii="TimesNewRomanPSMT" w:hAnsi="TimesNewRomanPSMT" w:cs="TimesNewRomanPSMT"/>
          <w:sz w:val="13"/>
          <w:szCs w:val="13"/>
        </w:rPr>
        <w:t>2</w:t>
      </w:r>
      <w:r>
        <w:rPr>
          <w:rFonts w:ascii="TimesNewRomanPSMT" w:hAnsi="TimesNewRomanPSMT" w:cs="TimesNewRomanPSMT"/>
          <w:sz w:val="20"/>
          <w:szCs w:val="20"/>
        </w:rPr>
        <w:t>, R. Valizadeh</w:t>
      </w:r>
      <w:r>
        <w:rPr>
          <w:rFonts w:ascii="TimesNewRomanPSMT" w:hAnsi="TimesNewRomanPSMT" w:cs="TimesNewRomanPSMT"/>
          <w:sz w:val="13"/>
          <w:szCs w:val="13"/>
        </w:rPr>
        <w:t>2</w:t>
      </w:r>
      <w:r>
        <w:rPr>
          <w:rFonts w:ascii="TimesNewRomanPSMT" w:hAnsi="TimesNewRomanPSMT" w:cs="TimesNewRomanPSMT"/>
          <w:sz w:val="20"/>
          <w:szCs w:val="20"/>
        </w:rPr>
        <w:t>, T. Mohammadabadi</w:t>
      </w:r>
      <w:r>
        <w:rPr>
          <w:rFonts w:ascii="TimesNewRomanPSMT" w:hAnsi="TimesNewRomanPSMT" w:cs="TimesNewRomanPSMT"/>
          <w:sz w:val="13"/>
          <w:szCs w:val="13"/>
        </w:rPr>
        <w:t>1</w:t>
      </w:r>
      <w:r>
        <w:rPr>
          <w:rFonts w:ascii="TimesNewRomanPSMT" w:hAnsi="TimesNewRomanPSMT" w:cs="TimesNewRomanPSMT"/>
          <w:sz w:val="20"/>
          <w:szCs w:val="20"/>
        </w:rPr>
        <w:t>, S. TabatabaiVakili</w:t>
      </w:r>
      <w:r>
        <w:rPr>
          <w:rFonts w:ascii="TimesNewRomanPSMT" w:hAnsi="TimesNewRomanPSMT" w:cs="TimesNewRomanPSMT"/>
          <w:sz w:val="13"/>
          <w:szCs w:val="13"/>
        </w:rPr>
        <w:t>1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>1</w:t>
      </w:r>
      <w:r>
        <w:rPr>
          <w:rFonts w:ascii="TimesNewRomanPSMT" w:hAnsi="TimesNewRomanPSMT" w:cs="TimesNewRomanPSMT"/>
          <w:sz w:val="20"/>
          <w:szCs w:val="20"/>
        </w:rPr>
        <w:t xml:space="preserve">Ramin (Khuzestan) Agricultural &amp;Natural Resources University,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Molassani</w:t>
      </w:r>
      <w:proofErr w:type="spellEnd"/>
      <w:r>
        <w:rPr>
          <w:rFonts w:ascii="TimesNewRomanPSMT" w:hAnsi="TimesNewRomanPSMT" w:cs="TimesNewRomanPSMT"/>
          <w:sz w:val="20"/>
          <w:szCs w:val="20"/>
        </w:rPr>
        <w:t>-Ahvaz, Khuzestan, Islamic Republic of Iran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>2</w:t>
      </w:r>
      <w:r>
        <w:rPr>
          <w:rFonts w:ascii="TimesNewRomanPSMT" w:hAnsi="TimesNewRomanPSMT" w:cs="TimesNewRomanPSMT"/>
          <w:sz w:val="20"/>
          <w:szCs w:val="20"/>
        </w:rPr>
        <w:t xml:space="preserve">Ferdowsi University of Mashhad, Mashhad,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Khorasan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Islamic Republic of Iran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Email: morteza34312002@yahoo.co.uk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Introduction </w:t>
      </w:r>
      <w:r>
        <w:rPr>
          <w:rFonts w:ascii="TimesNewRomanPSMT" w:hAnsi="TimesNewRomanPSMT" w:cs="TimesNewRomanPSMT"/>
          <w:sz w:val="20"/>
          <w:szCs w:val="20"/>
        </w:rPr>
        <w:t>Sugarcane (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Saccharum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officinarum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 is an important crop in the southwest of Iran as well as tropical and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subtropical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regions of the world. One potential use of sugarcane pith (the fibrous residue following juice extraction and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separation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the rind from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bagasse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 is as a feedstuff for ruminants. The low digestibility, high lignin and very low nitrogen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content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are considered as the main reasons for unsatisfactory performance of animals fed these roughages. Steam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treatments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improve voluntary intake and nutritive value of low-quality roughages. In order to better understand the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processes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digestion, knowledge of the mean retention time (MRT) and rate of removal of particular components of the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diet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from gastro-intestinal tract (GIT) is required. In experiments on digestive function in ruminants, markers can be used to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estimate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rate of movement of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digesta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within the GIT. The objective of this study was to evaluate the effect of level of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steam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treated sugarcane pith (STP) diet inclusion on apparent digestibility of total GIT, and rumen passage parameters.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Material and methods </w:t>
      </w:r>
      <w:r>
        <w:rPr>
          <w:rFonts w:ascii="TimesNewRomanPSMT" w:hAnsi="TimesNewRomanPSMT" w:cs="TimesNewRomanPSMT"/>
          <w:sz w:val="20"/>
          <w:szCs w:val="20"/>
        </w:rPr>
        <w:t xml:space="preserve">Four Iranian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Baluchi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wethers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(30±2 kg wt.) fitted with rumen (the dorsal sac)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abomasal</w:t>
      </w:r>
      <w:proofErr w:type="spellEnd"/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cannulae</w:t>
      </w:r>
      <w:proofErr w:type="spellEnd"/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were used. They were housed indoors and confined in metabolism cages. The ration was given in equal portions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intervals of 3 h by an automatic interval feeder. Experimental treatments consisted of 1) the control diet (without STP,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STP0), 2) 4% STP (STP4) 3) 8% STP (STP8) 4) 12% STP (STP12) per kg DM of diet, Incremental inclusion of STP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replaced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wheat bran in the control diet. The experiment was carried out in 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change over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design; 4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Baluchi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wethers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were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allotted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to 4 diets in a 4×4 Latin square design. The duration of each period consisted of 14 d of adaptation, 7 d of total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faecal</w:t>
      </w:r>
      <w:proofErr w:type="spellEnd"/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collection, 6 d of continuous ruminal injection of marker (Cr-EDTA) and 2d of rumen fluid sampling. The Cr-EDTA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was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prepared as described by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Binnerts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et al</w:t>
      </w:r>
      <w:r>
        <w:rPr>
          <w:rFonts w:ascii="TimesNewRomanPSMT" w:hAnsi="TimesNewRomanPSMT" w:cs="TimesNewRomanPSMT"/>
          <w:sz w:val="20"/>
          <w:szCs w:val="20"/>
        </w:rPr>
        <w:t xml:space="preserve">. (1968). The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abomasal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samples were obtained on 2 successive days (5</w:t>
      </w:r>
      <w:r>
        <w:rPr>
          <w:rFonts w:ascii="TimesNewRomanPSMT" w:hAnsi="TimesNewRomanPSMT" w:cs="TimesNewRomanPSMT"/>
          <w:sz w:val="13"/>
          <w:szCs w:val="13"/>
        </w:rPr>
        <w:t xml:space="preserve">th </w:t>
      </w:r>
      <w:r>
        <w:rPr>
          <w:rFonts w:ascii="TimesNewRomanPSMT" w:hAnsi="TimesNewRomanPSMT" w:cs="TimesNewRomanPSMT"/>
          <w:sz w:val="20"/>
          <w:szCs w:val="20"/>
        </w:rPr>
        <w:t>and 6</w:t>
      </w:r>
      <w:r>
        <w:rPr>
          <w:rFonts w:ascii="TimesNewRomanPSMT" w:hAnsi="TimesNewRomanPSMT" w:cs="TimesNewRomanPSMT"/>
          <w:sz w:val="13"/>
          <w:szCs w:val="13"/>
        </w:rPr>
        <w:t>th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d)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during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marker injection at 3 h interval. When injection ceased, rumen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digesta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was collected at 0, 3, 6, 9, 12, 15, 18, 24,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48 h.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Using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chemical components of diets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faeces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intake and digestibility of nutrients were calculated. The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recommended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equations of Weston and Hogan (1967) under steady state conditions were used to calculate passage rate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parameters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. Digestibility and ruminal digestion kinetics data were statistically analyzed in accordance with a standard </w:t>
      </w: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latin</w:t>
      </w:r>
      <w:proofErr w:type="spellEnd"/>
      <w:proofErr w:type="gramEnd"/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square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design using the GLM procedure of SAS (SAS Inst. Inc., Cary, NC).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Results </w:t>
      </w:r>
      <w:r>
        <w:rPr>
          <w:rFonts w:ascii="TimesNewRomanPSMT" w:hAnsi="TimesNewRomanPSMT" w:cs="TimesNewRomanPSMT"/>
          <w:sz w:val="20"/>
          <w:szCs w:val="20"/>
        </w:rPr>
        <w:t>Intake and apparent digestibility of dry matter (DM) were not affected by treatment but the high pith treatment had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highest digestibility of NDF (61%) and ADF (51%)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(P&lt;0.05).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Ruminal fluid dilution rate (RFDR), rumen turnover time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(RTT), ruminal out flow rate (ROFR) and MRT were all affected by treatment in a linear direction (P&lt;0.05). STP0 in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comparison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with STP12 had the highest RFDR (8.35 vs. 7.09) and ROFR (0.47 vs. 0.36 L/h) from rumen.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Table 1 </w:t>
      </w:r>
      <w:r>
        <w:rPr>
          <w:rFonts w:ascii="TimesNewRomanPSMT" w:hAnsi="TimesNewRomanPSMT" w:cs="TimesNewRomanPSMT"/>
          <w:sz w:val="20"/>
          <w:szCs w:val="20"/>
        </w:rPr>
        <w:t>Effect of dietary inclusion level of steam treated sugarcane pith on feed intake and diet digestibility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 xml:space="preserve">STP (g/kg DM of diet)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s.e.m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P-Value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0 40 80 120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DM intake (g/d) 831.37 823.37 860.57 839.83 11.83 NS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OM intake (g/d) 775.50 769.52 801.88 780.20 15.61 NS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DM digestibility (g/kg) 600.1 604.4 605.9 629.7 6.90 NS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OM digestibility (g/kg) 696.5 700.3 714.1 740.3 4.90 NS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NDF digestibility (g/kg) 507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540.1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563.7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608.8</w:t>
      </w:r>
      <w:r>
        <w:rPr>
          <w:rFonts w:ascii="TimesNewRomanPSMT" w:hAnsi="TimesNewRomanPSMT" w:cs="TimesNewRomanPSMT"/>
          <w:sz w:val="13"/>
          <w:szCs w:val="13"/>
        </w:rPr>
        <w:t xml:space="preserve">c </w:t>
      </w:r>
      <w:r>
        <w:rPr>
          <w:rFonts w:ascii="TimesNewRomanPSMT" w:hAnsi="TimesNewRomanPSMT" w:cs="TimesNewRomanPSMT"/>
          <w:sz w:val="20"/>
          <w:szCs w:val="20"/>
        </w:rPr>
        <w:t>6.90 L*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ADF digestibility (g/kg) 429.9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467</w:t>
      </w:r>
      <w:r>
        <w:rPr>
          <w:rFonts w:ascii="TimesNewRomanPSMT" w:hAnsi="TimesNewRomanPSMT" w:cs="TimesNewRomanPSMT"/>
          <w:sz w:val="13"/>
          <w:szCs w:val="13"/>
        </w:rPr>
        <w:t xml:space="preserve">ab </w:t>
      </w:r>
      <w:r>
        <w:rPr>
          <w:rFonts w:ascii="TimesNewRomanPSMT" w:hAnsi="TimesNewRomanPSMT" w:cs="TimesNewRomanPSMT"/>
          <w:sz w:val="20"/>
          <w:szCs w:val="20"/>
        </w:rPr>
        <w:t>497.8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568.9</w:t>
      </w:r>
      <w:r>
        <w:rPr>
          <w:rFonts w:ascii="TimesNewRomanPSMT" w:hAnsi="TimesNewRomanPSMT" w:cs="TimesNewRomanPSMT"/>
          <w:sz w:val="13"/>
          <w:szCs w:val="13"/>
        </w:rPr>
        <w:t xml:space="preserve">c </w:t>
      </w:r>
      <w:r>
        <w:rPr>
          <w:rFonts w:ascii="TimesNewRomanPSMT" w:hAnsi="TimesNewRomanPSMT" w:cs="TimesNewRomanPSMT"/>
          <w:sz w:val="20"/>
          <w:szCs w:val="20"/>
        </w:rPr>
        <w:t>11 L*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OM: Organic matter; L: Linear effect; NS: Non significant; *P&lt;0.05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Table 2 </w:t>
      </w:r>
      <w:r>
        <w:rPr>
          <w:rFonts w:ascii="TimesNewRomanPSMT" w:hAnsi="TimesNewRomanPSMT" w:cs="TimesNewRomanPSMT"/>
          <w:sz w:val="20"/>
          <w:szCs w:val="20"/>
        </w:rPr>
        <w:t>Effect of dietary inclusion level of steam treated sugarcane pith on ruminal digestion kinetics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STP (g/kg DM of diet)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s.e.m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Effect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0 40 80 120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Ruminal fluid dilution rate (%/h) 8.53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7.66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7.42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7.09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0.22 L*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Rumen turnover time (h) 11.97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13.14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13.53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14.17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0.34 L*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Ruminal Outflow rate (L/h) 0.47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0.397</w:t>
      </w:r>
      <w:r>
        <w:rPr>
          <w:rFonts w:ascii="TimesNewRomanPSMT" w:hAnsi="TimesNewRomanPSMT" w:cs="TimesNewRomanPSMT"/>
          <w:sz w:val="13"/>
          <w:szCs w:val="13"/>
        </w:rPr>
        <w:t xml:space="preserve">ab </w:t>
      </w:r>
      <w:r>
        <w:rPr>
          <w:rFonts w:ascii="TimesNewRomanPSMT" w:hAnsi="TimesNewRomanPSMT" w:cs="TimesNewRomanPSMT"/>
          <w:sz w:val="20"/>
          <w:szCs w:val="20"/>
        </w:rPr>
        <w:t>0.374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0.36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0.03 L*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MRT (h) 12.39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13.19</w:t>
      </w:r>
      <w:r>
        <w:rPr>
          <w:rFonts w:ascii="TimesNewRomanPSMT" w:hAnsi="TimesNewRomanPSMT" w:cs="TimesNewRomanPSMT"/>
          <w:sz w:val="13"/>
          <w:szCs w:val="13"/>
        </w:rPr>
        <w:t xml:space="preserve">ab </w:t>
      </w:r>
      <w:r>
        <w:rPr>
          <w:rFonts w:ascii="TimesNewRomanPSMT" w:hAnsi="TimesNewRomanPSMT" w:cs="TimesNewRomanPSMT"/>
          <w:sz w:val="20"/>
          <w:szCs w:val="20"/>
        </w:rPr>
        <w:t>13.50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14.03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0.40 L*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L: Linear effect; NS: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non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significant; MRT: Mean retention time;*P&lt;0.05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Conclusion </w:t>
      </w:r>
      <w:r>
        <w:rPr>
          <w:rFonts w:ascii="TimesNewRomanPSMT" w:hAnsi="TimesNewRomanPSMT" w:cs="TimesNewRomanPSMT"/>
          <w:sz w:val="20"/>
          <w:szCs w:val="20"/>
        </w:rPr>
        <w:t>The results of this experiment suggest that STP can be included up to 12% of dietary DM and leads to lower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ROFR, RFDR and RTT and higher MRT when compared with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a wheat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bran based diet (STP0). The greater digestibility of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NDF and ADF fractions suggest that steam treatment can improve the nutritive value of sugarcane pith.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References</w:t>
      </w:r>
    </w:p>
    <w:p w:rsidR="00B24712" w:rsidRDefault="00B24712" w:rsidP="00B247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Binnerts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W.T.,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Van’t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Klooster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A.Th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Frens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A.M. 1968.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Veterinary Record 28, 470.</w:t>
      </w:r>
      <w:proofErr w:type="gramEnd"/>
    </w:p>
    <w:p w:rsidR="00237791" w:rsidRDefault="00B24712" w:rsidP="00B24712">
      <w:r>
        <w:rPr>
          <w:rFonts w:ascii="TimesNewRomanPSMT" w:hAnsi="TimesNewRomanPSMT" w:cs="TimesNewRomanPSMT"/>
          <w:sz w:val="20"/>
          <w:szCs w:val="20"/>
        </w:rPr>
        <w:t>Weston, R.H. and Hogan, J.P., 1967. Australian Journal of Agricultural Resources 18, 789-801.</w:t>
      </w:r>
    </w:p>
    <w:sectPr w:rsidR="00237791" w:rsidSect="0023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4712"/>
    <w:rsid w:val="00005B26"/>
    <w:rsid w:val="000117D1"/>
    <w:rsid w:val="00013204"/>
    <w:rsid w:val="00014E2A"/>
    <w:rsid w:val="00015E40"/>
    <w:rsid w:val="0002174D"/>
    <w:rsid w:val="00026A46"/>
    <w:rsid w:val="00026B59"/>
    <w:rsid w:val="0002761E"/>
    <w:rsid w:val="00035979"/>
    <w:rsid w:val="00041DA9"/>
    <w:rsid w:val="00057256"/>
    <w:rsid w:val="00065A8A"/>
    <w:rsid w:val="00072F7E"/>
    <w:rsid w:val="00077FCB"/>
    <w:rsid w:val="000802BE"/>
    <w:rsid w:val="00091A98"/>
    <w:rsid w:val="00093194"/>
    <w:rsid w:val="000956A1"/>
    <w:rsid w:val="00097BCB"/>
    <w:rsid w:val="000A073B"/>
    <w:rsid w:val="000A1426"/>
    <w:rsid w:val="000A576E"/>
    <w:rsid w:val="000B0EA9"/>
    <w:rsid w:val="000B2A27"/>
    <w:rsid w:val="000D21D6"/>
    <w:rsid w:val="000D2526"/>
    <w:rsid w:val="000D2F77"/>
    <w:rsid w:val="000E29DA"/>
    <w:rsid w:val="000E4696"/>
    <w:rsid w:val="000F2738"/>
    <w:rsid w:val="00104079"/>
    <w:rsid w:val="001052C4"/>
    <w:rsid w:val="00112F08"/>
    <w:rsid w:val="00114091"/>
    <w:rsid w:val="0011409A"/>
    <w:rsid w:val="00161DEF"/>
    <w:rsid w:val="00165CBD"/>
    <w:rsid w:val="00167E99"/>
    <w:rsid w:val="001923A7"/>
    <w:rsid w:val="001A098C"/>
    <w:rsid w:val="001A709B"/>
    <w:rsid w:val="001B627F"/>
    <w:rsid w:val="001C32D5"/>
    <w:rsid w:val="001C4AA7"/>
    <w:rsid w:val="001D132A"/>
    <w:rsid w:val="001D7A0F"/>
    <w:rsid w:val="001F1D9C"/>
    <w:rsid w:val="001F4F84"/>
    <w:rsid w:val="002028C1"/>
    <w:rsid w:val="002075E5"/>
    <w:rsid w:val="00207A57"/>
    <w:rsid w:val="00216205"/>
    <w:rsid w:val="00237791"/>
    <w:rsid w:val="00280945"/>
    <w:rsid w:val="00284FEA"/>
    <w:rsid w:val="00290ADB"/>
    <w:rsid w:val="002A4954"/>
    <w:rsid w:val="002B66CC"/>
    <w:rsid w:val="002C2EA7"/>
    <w:rsid w:val="002C36AF"/>
    <w:rsid w:val="002C5DE9"/>
    <w:rsid w:val="002C70B1"/>
    <w:rsid w:val="002E0814"/>
    <w:rsid w:val="002E3942"/>
    <w:rsid w:val="0030347E"/>
    <w:rsid w:val="003053A4"/>
    <w:rsid w:val="00331A8C"/>
    <w:rsid w:val="00333594"/>
    <w:rsid w:val="00347373"/>
    <w:rsid w:val="003534F2"/>
    <w:rsid w:val="003649BA"/>
    <w:rsid w:val="00371380"/>
    <w:rsid w:val="0037315F"/>
    <w:rsid w:val="00377344"/>
    <w:rsid w:val="00380249"/>
    <w:rsid w:val="003857C7"/>
    <w:rsid w:val="003A393A"/>
    <w:rsid w:val="003A78E7"/>
    <w:rsid w:val="003B12FD"/>
    <w:rsid w:val="003B79EE"/>
    <w:rsid w:val="003E620F"/>
    <w:rsid w:val="003F3A76"/>
    <w:rsid w:val="004113C1"/>
    <w:rsid w:val="00412424"/>
    <w:rsid w:val="004442FD"/>
    <w:rsid w:val="00455ADF"/>
    <w:rsid w:val="00455CFA"/>
    <w:rsid w:val="004737C4"/>
    <w:rsid w:val="004A396B"/>
    <w:rsid w:val="004B776E"/>
    <w:rsid w:val="004C6208"/>
    <w:rsid w:val="004C677B"/>
    <w:rsid w:val="004D0858"/>
    <w:rsid w:val="004D0AD3"/>
    <w:rsid w:val="004D360C"/>
    <w:rsid w:val="004D543C"/>
    <w:rsid w:val="004E6D47"/>
    <w:rsid w:val="004F5EA1"/>
    <w:rsid w:val="00501A67"/>
    <w:rsid w:val="00505B66"/>
    <w:rsid w:val="00520F54"/>
    <w:rsid w:val="005310E0"/>
    <w:rsid w:val="0056723E"/>
    <w:rsid w:val="0058202B"/>
    <w:rsid w:val="005859E2"/>
    <w:rsid w:val="00591A10"/>
    <w:rsid w:val="00596FC7"/>
    <w:rsid w:val="00597DD2"/>
    <w:rsid w:val="005A04D9"/>
    <w:rsid w:val="005A0783"/>
    <w:rsid w:val="005A1C83"/>
    <w:rsid w:val="005B2DD0"/>
    <w:rsid w:val="005B6622"/>
    <w:rsid w:val="005C15CF"/>
    <w:rsid w:val="005C5B85"/>
    <w:rsid w:val="005E7C43"/>
    <w:rsid w:val="00602BA4"/>
    <w:rsid w:val="00624495"/>
    <w:rsid w:val="006314A1"/>
    <w:rsid w:val="00643051"/>
    <w:rsid w:val="0065703A"/>
    <w:rsid w:val="006602B8"/>
    <w:rsid w:val="006632C7"/>
    <w:rsid w:val="00663D7D"/>
    <w:rsid w:val="006909B7"/>
    <w:rsid w:val="006911A3"/>
    <w:rsid w:val="00691D4B"/>
    <w:rsid w:val="006A0251"/>
    <w:rsid w:val="006A4C0E"/>
    <w:rsid w:val="006A53D4"/>
    <w:rsid w:val="006B020D"/>
    <w:rsid w:val="006B6D40"/>
    <w:rsid w:val="006D4199"/>
    <w:rsid w:val="006F0D99"/>
    <w:rsid w:val="006F30B7"/>
    <w:rsid w:val="00726286"/>
    <w:rsid w:val="00732FF6"/>
    <w:rsid w:val="00735128"/>
    <w:rsid w:val="007569D7"/>
    <w:rsid w:val="007742B6"/>
    <w:rsid w:val="0078087A"/>
    <w:rsid w:val="007827FF"/>
    <w:rsid w:val="00794D42"/>
    <w:rsid w:val="007A436C"/>
    <w:rsid w:val="007B53A0"/>
    <w:rsid w:val="007E037A"/>
    <w:rsid w:val="007E174D"/>
    <w:rsid w:val="007F18A1"/>
    <w:rsid w:val="0081484F"/>
    <w:rsid w:val="008218F4"/>
    <w:rsid w:val="008527F9"/>
    <w:rsid w:val="008611E8"/>
    <w:rsid w:val="00861A78"/>
    <w:rsid w:val="0087364C"/>
    <w:rsid w:val="00880F9C"/>
    <w:rsid w:val="00880FCC"/>
    <w:rsid w:val="00883534"/>
    <w:rsid w:val="0089480F"/>
    <w:rsid w:val="00895CA5"/>
    <w:rsid w:val="00896100"/>
    <w:rsid w:val="00897941"/>
    <w:rsid w:val="008A3D61"/>
    <w:rsid w:val="008C010E"/>
    <w:rsid w:val="008C5E63"/>
    <w:rsid w:val="008D57BC"/>
    <w:rsid w:val="008E26CC"/>
    <w:rsid w:val="008F4BD6"/>
    <w:rsid w:val="009031D3"/>
    <w:rsid w:val="0091119A"/>
    <w:rsid w:val="0091377E"/>
    <w:rsid w:val="00947833"/>
    <w:rsid w:val="009502C1"/>
    <w:rsid w:val="009612D9"/>
    <w:rsid w:val="009656B7"/>
    <w:rsid w:val="00976BF3"/>
    <w:rsid w:val="009B2583"/>
    <w:rsid w:val="009C0058"/>
    <w:rsid w:val="009C27BA"/>
    <w:rsid w:val="009C58E2"/>
    <w:rsid w:val="009C697C"/>
    <w:rsid w:val="009D479E"/>
    <w:rsid w:val="009E3A2D"/>
    <w:rsid w:val="009F21CC"/>
    <w:rsid w:val="00A02C2A"/>
    <w:rsid w:val="00A069A9"/>
    <w:rsid w:val="00A10BAC"/>
    <w:rsid w:val="00A25A37"/>
    <w:rsid w:val="00A41A0B"/>
    <w:rsid w:val="00A420B6"/>
    <w:rsid w:val="00A544FD"/>
    <w:rsid w:val="00A62206"/>
    <w:rsid w:val="00A711AD"/>
    <w:rsid w:val="00A73991"/>
    <w:rsid w:val="00A76743"/>
    <w:rsid w:val="00A80B12"/>
    <w:rsid w:val="00A84BC7"/>
    <w:rsid w:val="00A90C98"/>
    <w:rsid w:val="00A9134A"/>
    <w:rsid w:val="00AA72B3"/>
    <w:rsid w:val="00AB0F43"/>
    <w:rsid w:val="00AB465A"/>
    <w:rsid w:val="00AB54E5"/>
    <w:rsid w:val="00AD03DE"/>
    <w:rsid w:val="00AD21AA"/>
    <w:rsid w:val="00AE5657"/>
    <w:rsid w:val="00AE72D1"/>
    <w:rsid w:val="00AF0E0D"/>
    <w:rsid w:val="00AF4042"/>
    <w:rsid w:val="00B12A3D"/>
    <w:rsid w:val="00B24712"/>
    <w:rsid w:val="00B306F5"/>
    <w:rsid w:val="00B3179B"/>
    <w:rsid w:val="00B5787D"/>
    <w:rsid w:val="00B60B9F"/>
    <w:rsid w:val="00B75934"/>
    <w:rsid w:val="00B97A37"/>
    <w:rsid w:val="00BC44F1"/>
    <w:rsid w:val="00BC5B0B"/>
    <w:rsid w:val="00BC6CAD"/>
    <w:rsid w:val="00BD06CA"/>
    <w:rsid w:val="00BD3B1D"/>
    <w:rsid w:val="00BE1892"/>
    <w:rsid w:val="00BF2324"/>
    <w:rsid w:val="00BF2D31"/>
    <w:rsid w:val="00BF6D9B"/>
    <w:rsid w:val="00BF6F7A"/>
    <w:rsid w:val="00C05F4C"/>
    <w:rsid w:val="00C16795"/>
    <w:rsid w:val="00C252F1"/>
    <w:rsid w:val="00C523F7"/>
    <w:rsid w:val="00C546DF"/>
    <w:rsid w:val="00C60C92"/>
    <w:rsid w:val="00C60ED8"/>
    <w:rsid w:val="00C76582"/>
    <w:rsid w:val="00CA2815"/>
    <w:rsid w:val="00CB3BDC"/>
    <w:rsid w:val="00CB6F60"/>
    <w:rsid w:val="00CC327F"/>
    <w:rsid w:val="00CC5439"/>
    <w:rsid w:val="00CE7980"/>
    <w:rsid w:val="00CF154C"/>
    <w:rsid w:val="00CF26FF"/>
    <w:rsid w:val="00CF69C0"/>
    <w:rsid w:val="00D048A9"/>
    <w:rsid w:val="00D16F8A"/>
    <w:rsid w:val="00D2610B"/>
    <w:rsid w:val="00D331F8"/>
    <w:rsid w:val="00D45025"/>
    <w:rsid w:val="00D472D1"/>
    <w:rsid w:val="00D60DD1"/>
    <w:rsid w:val="00D90C9C"/>
    <w:rsid w:val="00D9557F"/>
    <w:rsid w:val="00DA488C"/>
    <w:rsid w:val="00DB5CBB"/>
    <w:rsid w:val="00DB6FE7"/>
    <w:rsid w:val="00DC6574"/>
    <w:rsid w:val="00DD2B07"/>
    <w:rsid w:val="00DD3944"/>
    <w:rsid w:val="00DE11C2"/>
    <w:rsid w:val="00DE687A"/>
    <w:rsid w:val="00DE7BA3"/>
    <w:rsid w:val="00E033F6"/>
    <w:rsid w:val="00E15601"/>
    <w:rsid w:val="00E16DD6"/>
    <w:rsid w:val="00E173D2"/>
    <w:rsid w:val="00E22C3B"/>
    <w:rsid w:val="00E22D36"/>
    <w:rsid w:val="00E50E57"/>
    <w:rsid w:val="00E57300"/>
    <w:rsid w:val="00E67C1D"/>
    <w:rsid w:val="00E83FCD"/>
    <w:rsid w:val="00EA0242"/>
    <w:rsid w:val="00EA4295"/>
    <w:rsid w:val="00EC4DF3"/>
    <w:rsid w:val="00EF1DF3"/>
    <w:rsid w:val="00EF1F81"/>
    <w:rsid w:val="00F16883"/>
    <w:rsid w:val="00F17221"/>
    <w:rsid w:val="00F3690E"/>
    <w:rsid w:val="00F502A8"/>
    <w:rsid w:val="00F5165C"/>
    <w:rsid w:val="00F62A0B"/>
    <w:rsid w:val="00F7208C"/>
    <w:rsid w:val="00F75841"/>
    <w:rsid w:val="00F90B3A"/>
    <w:rsid w:val="00FA0D2D"/>
    <w:rsid w:val="00FB2BBD"/>
    <w:rsid w:val="00FB475F"/>
    <w:rsid w:val="00FC2372"/>
    <w:rsid w:val="00FD104E"/>
    <w:rsid w:val="00FD4B5E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</dc:creator>
  <cp:keywords/>
  <dc:description/>
  <cp:lastModifiedBy>agric</cp:lastModifiedBy>
  <cp:revision>1</cp:revision>
  <dcterms:created xsi:type="dcterms:W3CDTF">2012-03-13T09:30:00Z</dcterms:created>
  <dcterms:modified xsi:type="dcterms:W3CDTF">2012-03-13T09:31:00Z</dcterms:modified>
</cp:coreProperties>
</file>