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97" w:rsidRPr="00B73BBB" w:rsidRDefault="00B84397" w:rsidP="00C215DB">
      <w:pPr>
        <w:bidi w:val="0"/>
        <w:spacing w:line="276" w:lineRule="auto"/>
        <w:rPr>
          <w:rFonts w:cs="B Nazanin+ Regular"/>
          <w:b/>
          <w:bCs/>
          <w:sz w:val="26"/>
          <w:szCs w:val="26"/>
          <w:lang w:bidi="fa-IR"/>
        </w:rPr>
      </w:pPr>
      <w:bookmarkStart w:id="0" w:name="_GoBack"/>
      <w:bookmarkEnd w:id="0"/>
      <w:r w:rsidRPr="00B73BBB">
        <w:rPr>
          <w:rFonts w:cs="B Nazanin+ Regular"/>
          <w:b/>
          <w:bCs/>
          <w:sz w:val="26"/>
          <w:szCs w:val="26"/>
          <w:lang w:bidi="fa-IR"/>
        </w:rPr>
        <w:t>Design and synthesis of new derivatives of</w:t>
      </w:r>
      <w:r w:rsidRPr="00B73BBB">
        <w:rPr>
          <w:rFonts w:cs="B Nazanin+ Regular" w:hint="cs"/>
          <w:b/>
          <w:bCs/>
          <w:sz w:val="26"/>
          <w:szCs w:val="26"/>
          <w:rtl/>
          <w:lang w:bidi="fa-IR"/>
        </w:rPr>
        <w:t xml:space="preserve"> </w:t>
      </w:r>
      <w:r w:rsidRPr="00B73BBB">
        <w:rPr>
          <w:rFonts w:cs="B Nazanin+ Regular"/>
          <w:b/>
          <w:bCs/>
          <w:sz w:val="26"/>
          <w:szCs w:val="26"/>
          <w:lang w:bidi="fa-IR"/>
        </w:rPr>
        <w:t>3-acetylt</w:t>
      </w:r>
      <w:r w:rsidR="0077594C">
        <w:rPr>
          <w:rFonts w:cs="B Nazanin+ Regular"/>
          <w:b/>
          <w:bCs/>
          <w:sz w:val="26"/>
          <w:szCs w:val="26"/>
          <w:lang w:bidi="fa-IR"/>
        </w:rPr>
        <w:t>h</w:t>
      </w:r>
      <w:r w:rsidRPr="00B73BBB">
        <w:rPr>
          <w:rFonts w:cs="B Nazanin+ Regular"/>
          <w:b/>
          <w:bCs/>
          <w:sz w:val="26"/>
          <w:szCs w:val="26"/>
          <w:lang w:bidi="fa-IR"/>
        </w:rPr>
        <w:t>iocoumarin</w:t>
      </w:r>
      <w:r w:rsidRPr="00B73BBB">
        <w:rPr>
          <w:rFonts w:cs="B Nazanin+ Regular"/>
          <w:b/>
          <w:bCs/>
          <w:i/>
          <w:iCs/>
          <w:sz w:val="26"/>
          <w:szCs w:val="26"/>
          <w:lang w:bidi="fa-IR"/>
        </w:rPr>
        <w:t xml:space="preserve"> </w:t>
      </w:r>
      <w:r w:rsidRPr="00B73BBB">
        <w:rPr>
          <w:rFonts w:cs="B Nazanin+ Regular"/>
          <w:b/>
          <w:bCs/>
          <w:sz w:val="26"/>
          <w:szCs w:val="26"/>
          <w:lang w:bidi="fa-IR"/>
        </w:rPr>
        <w:t>as 15-lipoxygenase inhibitors</w:t>
      </w:r>
    </w:p>
    <w:p w:rsidR="00B65057" w:rsidRPr="007A5D28" w:rsidRDefault="00B84397" w:rsidP="00C215DB">
      <w:pPr>
        <w:bidi w:val="0"/>
        <w:spacing w:line="276" w:lineRule="auto"/>
        <w:rPr>
          <w:vertAlign w:val="superscript"/>
        </w:rPr>
      </w:pPr>
      <w:r w:rsidRPr="00B73BBB">
        <w:rPr>
          <w:rFonts w:cs="B Nazanin+ Regular"/>
          <w:u w:val="single"/>
          <w:lang w:bidi="fa-IR"/>
        </w:rPr>
        <w:t>Sara Zerang Nasrabad</w:t>
      </w:r>
      <w:r w:rsidR="0079332C">
        <w:rPr>
          <w:vertAlign w:val="superscript"/>
        </w:rPr>
        <w:t xml:space="preserve"> a</w:t>
      </w:r>
      <w:r w:rsidRPr="00B73BBB">
        <w:rPr>
          <w:rFonts w:cs="B Nazanin+ Regular"/>
          <w:lang w:bidi="fa-IR"/>
        </w:rPr>
        <w:t>,</w:t>
      </w:r>
      <w:r w:rsidR="0077594C">
        <w:rPr>
          <w:rFonts w:cs="B Nazanin+ Regular"/>
          <w:lang w:bidi="fa-IR"/>
        </w:rPr>
        <w:t xml:space="preserve"> </w:t>
      </w:r>
      <w:r w:rsidR="0048666E">
        <w:rPr>
          <w:rFonts w:cs="B Nazanin+ Regular"/>
          <w:lang w:bidi="fa-IR"/>
        </w:rPr>
        <w:t>Seyed M</w:t>
      </w:r>
      <w:r w:rsidRPr="00B73BBB">
        <w:rPr>
          <w:rFonts w:cs="B Nazanin+ Regular"/>
          <w:lang w:bidi="fa-IR"/>
        </w:rPr>
        <w:t>ohamad Seyedi</w:t>
      </w:r>
      <w:r w:rsidR="0079332C">
        <w:rPr>
          <w:rFonts w:cs="B Nazanin+ Regular"/>
          <w:lang w:bidi="fa-IR"/>
        </w:rPr>
        <w:t xml:space="preserve"> </w:t>
      </w:r>
      <w:r w:rsidR="0079332C">
        <w:rPr>
          <w:vertAlign w:val="superscript"/>
        </w:rPr>
        <w:t>b</w:t>
      </w:r>
      <w:r w:rsidR="0079332C">
        <w:rPr>
          <w:rFonts w:cs="B Nazanin+ Regular"/>
          <w:lang w:bidi="fa-IR"/>
        </w:rPr>
        <w:t>*</w:t>
      </w:r>
      <w:r w:rsidRPr="00B73BBB">
        <w:rPr>
          <w:rFonts w:cs="B Nazanin+ Regular"/>
          <w:lang w:bidi="fa-IR"/>
        </w:rPr>
        <w:t>,</w:t>
      </w:r>
      <w:r w:rsidR="0077594C">
        <w:rPr>
          <w:rFonts w:cs="B Nazanin+ Regular"/>
          <w:lang w:bidi="fa-IR"/>
        </w:rPr>
        <w:t xml:space="preserve"> </w:t>
      </w:r>
      <w:r w:rsidRPr="00B73BBB">
        <w:rPr>
          <w:rFonts w:cs="B Nazanin+ Regular"/>
          <w:lang w:bidi="fa-IR"/>
        </w:rPr>
        <w:t>Hamid Sadeghian</w:t>
      </w:r>
      <w:r w:rsidR="0079332C">
        <w:rPr>
          <w:rFonts w:cs="B Nazanin+ Regular"/>
          <w:lang w:bidi="fa-IR"/>
        </w:rPr>
        <w:t xml:space="preserve"> </w:t>
      </w:r>
      <w:r w:rsidR="0079332C" w:rsidRPr="007A5D28">
        <w:rPr>
          <w:vertAlign w:val="superscript"/>
        </w:rPr>
        <w:t>c</w:t>
      </w:r>
      <w:r w:rsidR="007A5D28" w:rsidRPr="007A5D28">
        <w:rPr>
          <w:rFonts w:cs="B Nazanin+ Regular"/>
          <w:lang w:bidi="fa-IR"/>
        </w:rPr>
        <w:t xml:space="preserve"> </w:t>
      </w:r>
      <w:r w:rsidR="007A5D28">
        <w:rPr>
          <w:rFonts w:cs="B Nazanin+ Regular"/>
          <w:lang w:bidi="fa-IR"/>
        </w:rPr>
        <w:t>,Atena Jabari</w:t>
      </w:r>
      <w:r w:rsidR="007A5D28" w:rsidRPr="00870729">
        <w:rPr>
          <w:vertAlign w:val="superscript"/>
        </w:rPr>
        <w:t xml:space="preserve"> </w:t>
      </w:r>
      <w:r w:rsidR="007A5D28">
        <w:rPr>
          <w:vertAlign w:val="superscript"/>
        </w:rPr>
        <w:t>e</w:t>
      </w:r>
    </w:p>
    <w:p w:rsidR="00B65057" w:rsidRDefault="00EA7609" w:rsidP="00C215DB">
      <w:pPr>
        <w:bidi w:val="0"/>
        <w:spacing w:line="276" w:lineRule="auto"/>
      </w:pPr>
      <w:r>
        <w:rPr>
          <w:vertAlign w:val="superscript"/>
        </w:rPr>
        <w:t xml:space="preserve">a </w:t>
      </w:r>
      <w:r w:rsidR="00B65057" w:rsidRPr="00E5198B">
        <w:t>Department of Chemistry, School of Sciences, Ferdowsi University of Mashhad, Mashhad</w:t>
      </w:r>
      <w:r w:rsidR="00B65057">
        <w:t>,</w:t>
      </w:r>
      <w:r w:rsidR="00B65057" w:rsidRPr="00E5198B">
        <w:rPr>
          <w:sz w:val="13"/>
        </w:rPr>
        <w:t xml:space="preserve"> </w:t>
      </w:r>
      <w:r w:rsidR="00B65057" w:rsidRPr="00E5198B">
        <w:t>Iran</w:t>
      </w:r>
    </w:p>
    <w:p w:rsidR="00B65057" w:rsidRDefault="00B65057" w:rsidP="00C215DB">
      <w:pPr>
        <w:bidi w:val="0"/>
        <w:spacing w:line="276" w:lineRule="auto"/>
      </w:pPr>
      <w:r w:rsidRPr="00E5198B">
        <w:rPr>
          <w:vertAlign w:val="superscript"/>
        </w:rPr>
        <w:t>b</w:t>
      </w:r>
      <w:r w:rsidR="00EA7609">
        <w:t xml:space="preserve"> </w:t>
      </w:r>
      <w:r w:rsidRPr="00E5198B">
        <w:t>Department of Chemistry, School of Sciences, Ferdowsi University of Mashhad, Mashhad</w:t>
      </w:r>
      <w:r>
        <w:t>,</w:t>
      </w:r>
      <w:r w:rsidRPr="00E5198B">
        <w:rPr>
          <w:sz w:val="13"/>
        </w:rPr>
        <w:t xml:space="preserve"> </w:t>
      </w:r>
      <w:r w:rsidRPr="00E5198B">
        <w:t>Iran</w:t>
      </w:r>
    </w:p>
    <w:p w:rsidR="00B65057" w:rsidRDefault="00B65057" w:rsidP="00C215DB">
      <w:pPr>
        <w:bidi w:val="0"/>
        <w:spacing w:line="276" w:lineRule="auto"/>
        <w:ind w:right="2452"/>
      </w:pPr>
      <w:r w:rsidRPr="00E5198B">
        <w:rPr>
          <w:vertAlign w:val="superscript"/>
        </w:rPr>
        <w:t>c</w:t>
      </w:r>
      <w:r w:rsidR="00EA7609">
        <w:rPr>
          <w:vertAlign w:val="superscript"/>
        </w:rPr>
        <w:t xml:space="preserve"> </w:t>
      </w:r>
      <w:r w:rsidRPr="00E5198B">
        <w:t>Department of Biology, Faculty of Sciences, Ferdowsi University of</w:t>
      </w:r>
      <w:r w:rsidR="0042575F">
        <w:t xml:space="preserve"> </w:t>
      </w:r>
      <w:r w:rsidRPr="00E5198B">
        <w:t>Mashhad, Iran</w:t>
      </w:r>
    </w:p>
    <w:p w:rsidR="007A5D28" w:rsidRDefault="007A5D28" w:rsidP="00C215DB">
      <w:pPr>
        <w:bidi w:val="0"/>
        <w:spacing w:line="276" w:lineRule="auto"/>
      </w:pPr>
      <w:r>
        <w:rPr>
          <w:vertAlign w:val="superscript"/>
        </w:rPr>
        <w:t xml:space="preserve">d </w:t>
      </w:r>
      <w:r w:rsidRPr="00A644C5">
        <w:t>Department of Chemistry, School of Sciences, Ferdowsi University of Mashhad, Mashhad,</w:t>
      </w:r>
      <w:r w:rsidRPr="00A644C5">
        <w:rPr>
          <w:sz w:val="13"/>
        </w:rPr>
        <w:t xml:space="preserve"> </w:t>
      </w:r>
      <w:r w:rsidRPr="00A644C5">
        <w:t>Iran</w:t>
      </w:r>
    </w:p>
    <w:p w:rsidR="005E6CFC" w:rsidRDefault="005E6CFC" w:rsidP="00C215DB">
      <w:pPr>
        <w:bidi w:val="0"/>
        <w:spacing w:line="276" w:lineRule="auto"/>
        <w:ind w:right="2452"/>
      </w:pPr>
      <w:r w:rsidRPr="007A5D28">
        <w:rPr>
          <w:b/>
          <w:bCs/>
        </w:rPr>
        <w:t xml:space="preserve">  Email address</w:t>
      </w:r>
      <w:r>
        <w:t xml:space="preserve"> :</w:t>
      </w:r>
      <w:r w:rsidR="009C11D1">
        <w:t xml:space="preserve"> </w:t>
      </w:r>
      <w:r w:rsidR="00C215DB" w:rsidRPr="00C215DB">
        <w:t>smseyedi@</w:t>
      </w:r>
      <w:r w:rsidR="00C215DB">
        <w:t>um.ac.ir</w:t>
      </w:r>
    </w:p>
    <w:p w:rsidR="00527F56" w:rsidRPr="00F40107" w:rsidRDefault="00527F56" w:rsidP="00C215DB">
      <w:pPr>
        <w:bidi w:val="0"/>
        <w:spacing w:line="276" w:lineRule="auto"/>
        <w:ind w:right="2452"/>
        <w:rPr>
          <w:b/>
          <w:bCs/>
          <w:sz w:val="24"/>
          <w:szCs w:val="24"/>
        </w:rPr>
      </w:pPr>
      <w:r w:rsidRPr="00F40107">
        <w:rPr>
          <w:b/>
          <w:bCs/>
          <w:sz w:val="24"/>
          <w:szCs w:val="24"/>
        </w:rPr>
        <w:t>Introduction:</w:t>
      </w:r>
    </w:p>
    <w:p w:rsidR="00AE2C14" w:rsidRPr="00C930B9" w:rsidRDefault="004E5CFB" w:rsidP="00C215DB">
      <w:pPr>
        <w:bidi w:val="0"/>
        <w:spacing w:line="276" w:lineRule="auto"/>
        <w:jc w:val="both"/>
        <w:rPr>
          <w:sz w:val="24"/>
          <w:szCs w:val="24"/>
        </w:rPr>
      </w:pPr>
      <w:r w:rsidRPr="00C930B9">
        <w:rPr>
          <w:color w:val="000000" w:themeColor="text1"/>
          <w:sz w:val="24"/>
          <w:szCs w:val="24"/>
        </w:rPr>
        <w:t>Lipoxygenase</w:t>
      </w:r>
      <w:r w:rsidR="00CE2D72" w:rsidRPr="00C930B9">
        <w:rPr>
          <w:color w:val="000000" w:themeColor="text1"/>
          <w:sz w:val="24"/>
          <w:szCs w:val="24"/>
        </w:rPr>
        <w:t xml:space="preserve">s (LOs) </w:t>
      </w:r>
      <w:r w:rsidRPr="00C930B9">
        <w:rPr>
          <w:color w:val="000000" w:themeColor="text1"/>
          <w:sz w:val="24"/>
          <w:szCs w:val="24"/>
        </w:rPr>
        <w:t xml:space="preserve"> are</w:t>
      </w:r>
      <w:r w:rsidR="00CE2D72" w:rsidRPr="00C930B9">
        <w:rPr>
          <w:color w:val="000000" w:themeColor="text1"/>
          <w:sz w:val="24"/>
          <w:szCs w:val="24"/>
        </w:rPr>
        <w:t xml:space="preserve"> a main group of the </w:t>
      </w:r>
      <w:r w:rsidRPr="00C930B9">
        <w:rPr>
          <w:color w:val="000000" w:themeColor="text1"/>
          <w:sz w:val="24"/>
          <w:szCs w:val="24"/>
        </w:rPr>
        <w:t xml:space="preserve"> non-hem</w:t>
      </w:r>
      <w:r w:rsidR="00CE2D72" w:rsidRPr="00C930B9">
        <w:rPr>
          <w:color w:val="000000" w:themeColor="text1"/>
          <w:sz w:val="24"/>
          <w:szCs w:val="24"/>
        </w:rPr>
        <w:t>e</w:t>
      </w:r>
      <w:r w:rsidRPr="00C930B9">
        <w:rPr>
          <w:color w:val="000000" w:themeColor="text1"/>
          <w:sz w:val="24"/>
          <w:szCs w:val="24"/>
        </w:rPr>
        <w:t xml:space="preserve"> iron containing protein</w:t>
      </w:r>
      <w:r w:rsidR="00CE2D72" w:rsidRPr="00C930B9">
        <w:rPr>
          <w:color w:val="000000" w:themeColor="text1"/>
          <w:sz w:val="24"/>
          <w:szCs w:val="24"/>
        </w:rPr>
        <w:t>s</w:t>
      </w:r>
      <w:r w:rsidRPr="00C930B9">
        <w:rPr>
          <w:color w:val="000000" w:themeColor="text1"/>
          <w:sz w:val="24"/>
          <w:szCs w:val="24"/>
        </w:rPr>
        <w:t xml:space="preserve"> in lipid metabolism unsaturated fatty acids include arachidonic acid and linoleic acid convert to related metabolits by lipoxygenase</w:t>
      </w:r>
      <w:r w:rsidR="00CE2D72" w:rsidRPr="00C930B9">
        <w:rPr>
          <w:color w:val="000000" w:themeColor="text1"/>
          <w:sz w:val="24"/>
          <w:szCs w:val="24"/>
        </w:rPr>
        <w:t>s</w:t>
      </w:r>
      <w:r w:rsidRPr="00C930B9">
        <w:rPr>
          <w:color w:val="000000" w:themeColor="text1"/>
          <w:sz w:val="24"/>
          <w:szCs w:val="24"/>
        </w:rPr>
        <w:t xml:space="preserve"> and they are classified based on the position of the oxygenation of arachidonic acid (carbon number). Hydroproxyda</w:t>
      </w:r>
      <w:r w:rsidR="0083776B" w:rsidRPr="00C930B9">
        <w:rPr>
          <w:color w:val="000000" w:themeColor="text1"/>
          <w:sz w:val="24"/>
          <w:szCs w:val="24"/>
        </w:rPr>
        <w:t>tion at 5 or</w:t>
      </w:r>
      <w:r w:rsidR="00552549" w:rsidRPr="00C930B9">
        <w:rPr>
          <w:color w:val="000000" w:themeColor="text1"/>
          <w:sz w:val="24"/>
          <w:szCs w:val="24"/>
        </w:rPr>
        <w:t xml:space="preserve"> 15</w:t>
      </w:r>
      <w:r w:rsidR="0083776B" w:rsidRPr="00C930B9">
        <w:rPr>
          <w:color w:val="000000" w:themeColor="text1"/>
          <w:sz w:val="24"/>
          <w:szCs w:val="24"/>
        </w:rPr>
        <w:t xml:space="preserve"> carbon</w:t>
      </w:r>
      <w:r w:rsidR="00552549" w:rsidRPr="00C930B9">
        <w:rPr>
          <w:color w:val="000000" w:themeColor="text1"/>
          <w:sz w:val="24"/>
          <w:szCs w:val="24"/>
        </w:rPr>
        <w:t xml:space="preserve"> position of</w:t>
      </w:r>
      <w:r w:rsidR="0083776B" w:rsidRPr="00C930B9">
        <w:rPr>
          <w:color w:val="000000" w:themeColor="text1"/>
          <w:sz w:val="24"/>
          <w:szCs w:val="24"/>
        </w:rPr>
        <w:t xml:space="preserve"> the</w:t>
      </w:r>
      <w:r w:rsidR="00552549" w:rsidRPr="00C930B9">
        <w:rPr>
          <w:color w:val="000000" w:themeColor="text1"/>
          <w:sz w:val="24"/>
          <w:szCs w:val="24"/>
        </w:rPr>
        <w:t xml:space="preserve"> arachidonic acid respectively </w:t>
      </w:r>
      <w:r w:rsidR="0062534E">
        <w:rPr>
          <w:color w:val="000000" w:themeColor="text1"/>
          <w:sz w:val="24"/>
          <w:szCs w:val="24"/>
        </w:rPr>
        <w:t xml:space="preserve">were </w:t>
      </w:r>
      <w:r w:rsidR="00552549" w:rsidRPr="00C930B9">
        <w:rPr>
          <w:color w:val="000000" w:themeColor="text1"/>
          <w:sz w:val="24"/>
          <w:szCs w:val="24"/>
        </w:rPr>
        <w:t>converted to leukotrienes and lipoxin</w:t>
      </w:r>
      <w:r w:rsidR="0083776B" w:rsidRPr="00C930B9">
        <w:rPr>
          <w:color w:val="000000" w:themeColor="text1"/>
          <w:sz w:val="24"/>
          <w:szCs w:val="24"/>
        </w:rPr>
        <w:t>e</w:t>
      </w:r>
      <w:r w:rsidR="00552549" w:rsidRPr="00C930B9">
        <w:rPr>
          <w:color w:val="000000" w:themeColor="text1"/>
          <w:sz w:val="24"/>
          <w:szCs w:val="24"/>
        </w:rPr>
        <w:t xml:space="preserve">s </w:t>
      </w:r>
      <w:r w:rsidR="0083776B" w:rsidRPr="00C930B9">
        <w:rPr>
          <w:color w:val="000000" w:themeColor="text1"/>
          <w:sz w:val="24"/>
          <w:szCs w:val="24"/>
        </w:rPr>
        <w:t>and eoxines in the nex</w:t>
      </w:r>
      <w:r w:rsidR="0062534E">
        <w:rPr>
          <w:color w:val="000000" w:themeColor="text1"/>
          <w:sz w:val="24"/>
          <w:szCs w:val="24"/>
        </w:rPr>
        <w:t>t</w:t>
      </w:r>
      <w:r w:rsidR="0083776B" w:rsidRPr="00C930B9">
        <w:rPr>
          <w:color w:val="000000" w:themeColor="text1"/>
          <w:sz w:val="24"/>
          <w:szCs w:val="24"/>
        </w:rPr>
        <w:t xml:space="preserve"> section,</w:t>
      </w:r>
      <w:r w:rsidR="00AE2C14" w:rsidRPr="00C930B9">
        <w:rPr>
          <w:color w:val="000000" w:themeColor="text1"/>
          <w:sz w:val="24"/>
          <w:szCs w:val="24"/>
        </w:rPr>
        <w:t>leukotri</w:t>
      </w:r>
      <w:r w:rsidR="0083776B" w:rsidRPr="00C930B9">
        <w:rPr>
          <w:color w:val="000000" w:themeColor="text1"/>
          <w:sz w:val="24"/>
          <w:szCs w:val="24"/>
        </w:rPr>
        <w:t>e</w:t>
      </w:r>
      <w:r w:rsidR="00AE2C14" w:rsidRPr="00C930B9">
        <w:rPr>
          <w:color w:val="000000" w:themeColor="text1"/>
          <w:sz w:val="24"/>
          <w:szCs w:val="24"/>
        </w:rPr>
        <w:t>nes are released by white blood cells and play a</w:t>
      </w:r>
      <w:r w:rsidR="0062534E">
        <w:rPr>
          <w:color w:val="000000" w:themeColor="text1"/>
          <w:sz w:val="24"/>
          <w:szCs w:val="24"/>
        </w:rPr>
        <w:t xml:space="preserve"> </w:t>
      </w:r>
      <w:r w:rsidR="00AE2C14" w:rsidRPr="00C930B9">
        <w:rPr>
          <w:color w:val="000000" w:themeColor="text1"/>
          <w:sz w:val="24"/>
          <w:szCs w:val="24"/>
        </w:rPr>
        <w:t xml:space="preserve">major role in the development of inflemmatory disease of the respiratory system. Research </w:t>
      </w:r>
      <w:r w:rsidR="0073367E" w:rsidRPr="00C930B9">
        <w:rPr>
          <w:color w:val="000000" w:themeColor="text1"/>
          <w:sz w:val="24"/>
          <w:szCs w:val="24"/>
        </w:rPr>
        <w:t>indicate these enzyme play</w:t>
      </w:r>
      <w:r w:rsidR="00AE2C14" w:rsidRPr="00C930B9">
        <w:rPr>
          <w:color w:val="000000" w:themeColor="text1"/>
          <w:sz w:val="24"/>
          <w:szCs w:val="24"/>
        </w:rPr>
        <w:t xml:space="preserve"> a significat role in human disease such as cancer. In </w:t>
      </w:r>
      <w:r w:rsidR="0073367E" w:rsidRPr="00C930B9">
        <w:rPr>
          <w:color w:val="000000" w:themeColor="text1"/>
          <w:sz w:val="24"/>
          <w:szCs w:val="24"/>
        </w:rPr>
        <w:t xml:space="preserve">this research, with </w:t>
      </w:r>
      <w:r w:rsidR="0073367E" w:rsidRPr="00C215DB">
        <w:rPr>
          <w:color w:val="000000" w:themeColor="text1"/>
          <w:sz w:val="24"/>
          <w:szCs w:val="24"/>
        </w:rPr>
        <w:t>design</w:t>
      </w:r>
      <w:r w:rsidR="00C215DB">
        <w:rPr>
          <w:color w:val="000000" w:themeColor="text1"/>
          <w:sz w:val="24"/>
          <w:szCs w:val="24"/>
        </w:rPr>
        <w:t xml:space="preserve"> and synthesize</w:t>
      </w:r>
      <w:r w:rsidR="0073367E" w:rsidRPr="00C930B9">
        <w:rPr>
          <w:color w:val="000000" w:themeColor="text1"/>
          <w:sz w:val="24"/>
          <w:szCs w:val="24"/>
        </w:rPr>
        <w:t xml:space="preserve"> coumarin derivatives, we intend to revealed the chromophor groups in coumar</w:t>
      </w:r>
      <w:r w:rsidR="00C215DB">
        <w:rPr>
          <w:color w:val="000000" w:themeColor="text1"/>
          <w:sz w:val="24"/>
          <w:szCs w:val="24"/>
        </w:rPr>
        <w:t>in</w:t>
      </w:r>
      <w:r w:rsidR="0073367E" w:rsidRPr="00C930B9">
        <w:rPr>
          <w:color w:val="000000" w:themeColor="text1"/>
          <w:sz w:val="24"/>
          <w:szCs w:val="24"/>
        </w:rPr>
        <w:t xml:space="preserve"> structure also study effect of increasing the length of prenyloxy chains in different position of coumarin ring on inhibitory activity of 15-lipoxygenase</w:t>
      </w:r>
      <w:r w:rsidR="00A72556">
        <w:rPr>
          <w:sz w:val="24"/>
          <w:szCs w:val="24"/>
        </w:rPr>
        <w:t xml:space="preserve"> </w:t>
      </w:r>
      <w:r w:rsidR="00417723" w:rsidRPr="00C930B9">
        <w:rPr>
          <w:sz w:val="24"/>
          <w:szCs w:val="24"/>
        </w:rPr>
        <w:t>[1]</w:t>
      </w:r>
      <w:r w:rsidR="00A72556">
        <w:rPr>
          <w:sz w:val="24"/>
          <w:szCs w:val="24"/>
        </w:rPr>
        <w:t>.</w:t>
      </w:r>
    </w:p>
    <w:p w:rsidR="000B0351" w:rsidRPr="0077594C" w:rsidRDefault="000B0351" w:rsidP="00C215DB">
      <w:pPr>
        <w:bidi w:val="0"/>
        <w:spacing w:line="276" w:lineRule="auto"/>
        <w:ind w:right="2452"/>
      </w:pPr>
    </w:p>
    <w:p w:rsidR="00B65057" w:rsidRPr="00F40107" w:rsidRDefault="00527F56" w:rsidP="00C215DB">
      <w:pPr>
        <w:bidi w:val="0"/>
        <w:spacing w:line="276" w:lineRule="auto"/>
        <w:rPr>
          <w:rFonts w:cs="Zar"/>
          <w:b/>
          <w:bCs/>
          <w:sz w:val="24"/>
          <w:szCs w:val="24"/>
          <w:lang w:bidi="fa-IR"/>
        </w:rPr>
      </w:pPr>
      <w:r w:rsidRPr="00F40107">
        <w:rPr>
          <w:rFonts w:cs="Zar"/>
          <w:b/>
          <w:bCs/>
          <w:sz w:val="24"/>
          <w:szCs w:val="24"/>
          <w:lang w:bidi="fa-IR"/>
        </w:rPr>
        <w:t>Methods / Experimentals:</w:t>
      </w:r>
    </w:p>
    <w:p w:rsidR="003C130B" w:rsidRPr="007A4E4D" w:rsidRDefault="0042575F" w:rsidP="00C215DB">
      <w:pPr>
        <w:bidi w:val="0"/>
        <w:spacing w:line="276" w:lineRule="auto"/>
        <w:jc w:val="both"/>
        <w:rPr>
          <w:rFonts w:asciiTheme="majorBidi" w:hAnsiTheme="majorBidi" w:cstheme="majorBidi"/>
          <w:sz w:val="24"/>
          <w:szCs w:val="24"/>
        </w:rPr>
      </w:pPr>
      <w:r w:rsidRPr="00C930B9">
        <w:rPr>
          <w:color w:val="000000" w:themeColor="text1"/>
          <w:sz w:val="24"/>
          <w:szCs w:val="24"/>
        </w:rPr>
        <w:t>In the first step the appropriate ketone</w:t>
      </w:r>
      <w:r w:rsidR="002479D5">
        <w:rPr>
          <w:color w:val="000000" w:themeColor="text1"/>
          <w:sz w:val="24"/>
          <w:szCs w:val="24"/>
        </w:rPr>
        <w:t xml:space="preserve"> 1</w:t>
      </w:r>
      <w:r w:rsidRPr="00C930B9">
        <w:rPr>
          <w:color w:val="000000" w:themeColor="text1"/>
          <w:sz w:val="24"/>
          <w:szCs w:val="24"/>
        </w:rPr>
        <w:t xml:space="preserve"> was added to dimethyl trithiocarbonate</w:t>
      </w:r>
      <w:r w:rsidR="002479D5">
        <w:rPr>
          <w:color w:val="000000" w:themeColor="text1"/>
          <w:sz w:val="24"/>
          <w:szCs w:val="24"/>
        </w:rPr>
        <w:t xml:space="preserve"> compound 2</w:t>
      </w:r>
      <w:r w:rsidRPr="00C930B9">
        <w:rPr>
          <w:color w:val="000000" w:themeColor="text1"/>
          <w:sz w:val="24"/>
          <w:szCs w:val="24"/>
        </w:rPr>
        <w:t xml:space="preserve"> the mixture stirred for 30 min at room tempreture and then refluxed for 2 hours for prepar</w:t>
      </w:r>
      <w:r w:rsidR="006F72BF" w:rsidRPr="00C930B9">
        <w:rPr>
          <w:color w:val="000000" w:themeColor="text1"/>
          <w:sz w:val="24"/>
          <w:szCs w:val="24"/>
        </w:rPr>
        <w:t xml:space="preserve">ation of intended </w:t>
      </w:r>
      <m:oMath>
        <m:r>
          <w:rPr>
            <w:rFonts w:ascii="Cambria Math" w:eastAsiaTheme="minorHAnsi" w:hAnsi="Cambria Math" w:cs="AdvPS3F4C13"/>
            <w:noProof w:val="0"/>
            <w:sz w:val="24"/>
            <w:szCs w:val="24"/>
          </w:rPr>
          <m:t>β</m:t>
        </m:r>
      </m:oMath>
      <w:r w:rsidR="00A4576E">
        <w:rPr>
          <w:rFonts w:eastAsiaTheme="minorHAnsi" w:cs="Times New Roman"/>
          <w:noProof w:val="0"/>
          <w:sz w:val="24"/>
          <w:szCs w:val="24"/>
        </w:rPr>
        <w:t>-</w:t>
      </w:r>
      <w:r w:rsidR="00A4576E" w:rsidRPr="00A4576E">
        <w:rPr>
          <w:rFonts w:eastAsiaTheme="minorHAnsi" w:cs="Times New Roman"/>
          <w:noProof w:val="0"/>
          <w:sz w:val="24"/>
          <w:szCs w:val="24"/>
        </w:rPr>
        <w:t>Oxodithioesters</w:t>
      </w:r>
      <w:r w:rsidR="002479D5">
        <w:rPr>
          <w:color w:val="000000" w:themeColor="text1"/>
          <w:sz w:val="24"/>
          <w:szCs w:val="24"/>
        </w:rPr>
        <w:t xml:space="preserve"> 3.</w:t>
      </w:r>
      <w:r w:rsidR="005374D1" w:rsidRPr="00C930B9">
        <w:rPr>
          <w:color w:val="000000" w:themeColor="text1"/>
          <w:sz w:val="24"/>
          <w:szCs w:val="24"/>
        </w:rPr>
        <w:t xml:space="preserve"> In the second step salicyldehyde/ substituted salicyldehyde </w:t>
      </w:r>
      <w:r w:rsidR="002479D5">
        <w:rPr>
          <w:color w:val="000000" w:themeColor="text1"/>
          <w:sz w:val="24"/>
          <w:szCs w:val="24"/>
        </w:rPr>
        <w:t xml:space="preserve">4 </w:t>
      </w:r>
      <w:r w:rsidR="005374D1" w:rsidRPr="00C930B9">
        <w:rPr>
          <w:color w:val="000000" w:themeColor="text1"/>
          <w:sz w:val="24"/>
          <w:szCs w:val="24"/>
        </w:rPr>
        <w:t>and</w:t>
      </w:r>
      <w:r w:rsidR="00A4576E">
        <w:rPr>
          <w:color w:val="000000" w:themeColor="text1"/>
          <w:sz w:val="24"/>
          <w:szCs w:val="24"/>
        </w:rPr>
        <w:t xml:space="preserve">          </w:t>
      </w:r>
      <w:r w:rsidR="00401602">
        <w:rPr>
          <w:color w:val="000000" w:themeColor="text1"/>
          <w:sz w:val="24"/>
          <w:szCs w:val="24"/>
        </w:rPr>
        <w:t xml:space="preserve">     </w:t>
      </w:r>
      <w:r w:rsidR="00A4576E">
        <w:rPr>
          <w:color w:val="000000" w:themeColor="text1"/>
          <w:sz w:val="24"/>
          <w:szCs w:val="24"/>
        </w:rPr>
        <w:t xml:space="preserve">               </w:t>
      </w:r>
      <w:r w:rsidR="005374D1" w:rsidRPr="00C930B9">
        <w:rPr>
          <w:color w:val="000000" w:themeColor="text1"/>
          <w:sz w:val="24"/>
          <w:szCs w:val="24"/>
        </w:rPr>
        <w:t xml:space="preserve"> </w:t>
      </w:r>
      <m:oMath>
        <m:r>
          <w:rPr>
            <w:rFonts w:ascii="Cambria Math" w:eastAsiaTheme="minorHAnsi" w:hAnsi="Cambria Math" w:cs="AdvPS3F4C13"/>
            <w:noProof w:val="0"/>
            <w:sz w:val="24"/>
            <w:szCs w:val="24"/>
          </w:rPr>
          <m:t>β</m:t>
        </m:r>
      </m:oMath>
      <w:r w:rsidR="00A4576E">
        <w:rPr>
          <w:rFonts w:ascii="AdvOT863180fb" w:eastAsiaTheme="minorHAnsi" w:hAnsi="AdvOT863180fb" w:cs="AdvOT863180fb"/>
          <w:noProof w:val="0"/>
          <w:sz w:val="16"/>
          <w:szCs w:val="16"/>
        </w:rPr>
        <w:t>-</w:t>
      </w:r>
      <w:r w:rsidR="00A4576E" w:rsidRPr="00A4576E">
        <w:rPr>
          <w:rFonts w:eastAsiaTheme="minorHAnsi" w:cs="Times New Roman"/>
          <w:noProof w:val="0"/>
          <w:sz w:val="24"/>
          <w:szCs w:val="24"/>
        </w:rPr>
        <w:t>Oxodithioesters</w:t>
      </w:r>
      <w:r w:rsidR="00A4576E" w:rsidRPr="00C930B9">
        <w:rPr>
          <w:color w:val="000000" w:themeColor="text1"/>
          <w:sz w:val="24"/>
          <w:szCs w:val="24"/>
        </w:rPr>
        <w:t xml:space="preserve"> </w:t>
      </w:r>
      <w:r w:rsidR="005374D1" w:rsidRPr="00C930B9">
        <w:rPr>
          <w:color w:val="000000" w:themeColor="text1"/>
          <w:sz w:val="24"/>
          <w:szCs w:val="24"/>
        </w:rPr>
        <w:t xml:space="preserve">that </w:t>
      </w:r>
      <w:r w:rsidR="00F15ECA" w:rsidRPr="00C930B9">
        <w:rPr>
          <w:color w:val="000000" w:themeColor="text1"/>
          <w:sz w:val="24"/>
          <w:szCs w:val="24"/>
        </w:rPr>
        <w:t>preparated in previous step,were</w:t>
      </w:r>
      <w:r w:rsidR="005374D1" w:rsidRPr="00C930B9">
        <w:rPr>
          <w:color w:val="000000" w:themeColor="text1"/>
          <w:sz w:val="24"/>
          <w:szCs w:val="24"/>
        </w:rPr>
        <w:t xml:space="preserve"> heated and stirred for 1-2 h</w:t>
      </w:r>
      <w:r w:rsidR="003C130B">
        <w:rPr>
          <w:color w:val="000000" w:themeColor="text1"/>
          <w:sz w:val="24"/>
          <w:szCs w:val="24"/>
        </w:rPr>
        <w:t>our</w:t>
      </w:r>
      <w:r w:rsidR="005374D1" w:rsidRPr="00C930B9">
        <w:rPr>
          <w:color w:val="000000" w:themeColor="text1"/>
          <w:sz w:val="24"/>
          <w:szCs w:val="24"/>
        </w:rPr>
        <w:t xml:space="preserve">. then the progress </w:t>
      </w:r>
      <w:r w:rsidR="00F15ECA" w:rsidRPr="00C930B9">
        <w:rPr>
          <w:color w:val="000000" w:themeColor="text1"/>
          <w:sz w:val="24"/>
          <w:szCs w:val="24"/>
        </w:rPr>
        <w:t xml:space="preserve">of the reactions was </w:t>
      </w:r>
      <w:r w:rsidR="006F72BF" w:rsidRPr="00C930B9">
        <w:rPr>
          <w:color w:val="000000" w:themeColor="text1"/>
          <w:sz w:val="24"/>
          <w:szCs w:val="24"/>
        </w:rPr>
        <w:t>monitored by thin layer chromatography after completion of the raction, water was added and the product w</w:t>
      </w:r>
      <w:r w:rsidR="00A72556">
        <w:rPr>
          <w:color w:val="000000" w:themeColor="text1"/>
          <w:sz w:val="24"/>
          <w:szCs w:val="24"/>
        </w:rPr>
        <w:t>as extracted with ethyl acetate</w:t>
      </w:r>
      <w:r w:rsidR="003C130B" w:rsidRPr="003C130B">
        <w:rPr>
          <w:color w:val="000000" w:themeColor="text1"/>
          <w:sz w:val="24"/>
          <w:szCs w:val="24"/>
        </w:rPr>
        <w:t xml:space="preserve"> </w:t>
      </w:r>
      <w:r w:rsidR="003C130B" w:rsidRPr="00C930B9">
        <w:rPr>
          <w:color w:val="000000" w:themeColor="text1"/>
          <w:sz w:val="24"/>
          <w:szCs w:val="24"/>
        </w:rPr>
        <w:t>[2]</w:t>
      </w:r>
      <w:r w:rsidR="00A72556">
        <w:rPr>
          <w:color w:val="000000" w:themeColor="text1"/>
          <w:sz w:val="24"/>
          <w:szCs w:val="24"/>
        </w:rPr>
        <w:t>.</w:t>
      </w:r>
      <w:r w:rsidR="003C130B">
        <w:rPr>
          <w:color w:val="000000" w:themeColor="text1"/>
          <w:sz w:val="24"/>
          <w:szCs w:val="24"/>
        </w:rPr>
        <w:t xml:space="preserve"> </w:t>
      </w:r>
      <w:r w:rsidR="003C130B" w:rsidRPr="00566561">
        <w:rPr>
          <w:rFonts w:asciiTheme="majorBidi" w:hAnsiTheme="majorBidi" w:cstheme="majorBidi"/>
          <w:sz w:val="24"/>
          <w:szCs w:val="24"/>
        </w:rPr>
        <w:t>The nex</w:t>
      </w:r>
      <w:r w:rsidR="003C130B">
        <w:rPr>
          <w:rFonts w:asciiTheme="majorBidi" w:hAnsiTheme="majorBidi" w:cstheme="majorBidi"/>
          <w:sz w:val="24"/>
          <w:szCs w:val="24"/>
        </w:rPr>
        <w:t>t</w:t>
      </w:r>
      <w:r w:rsidR="003C130B" w:rsidRPr="00566561">
        <w:rPr>
          <w:rFonts w:asciiTheme="majorBidi" w:hAnsiTheme="majorBidi" w:cstheme="majorBidi"/>
          <w:sz w:val="24"/>
          <w:szCs w:val="24"/>
        </w:rPr>
        <w:t xml:space="preserve"> step wit</w:t>
      </w:r>
      <w:r w:rsidR="003C130B">
        <w:rPr>
          <w:rFonts w:asciiTheme="majorBidi" w:hAnsiTheme="majorBidi" w:cstheme="majorBidi"/>
          <w:sz w:val="24"/>
          <w:szCs w:val="24"/>
        </w:rPr>
        <w:t>h using prenyl bromide compound</w:t>
      </w:r>
      <w:r w:rsidR="00401602">
        <w:rPr>
          <w:rFonts w:asciiTheme="majorBidi" w:hAnsiTheme="majorBidi" w:cstheme="majorBidi"/>
          <w:sz w:val="24"/>
          <w:szCs w:val="24"/>
        </w:rPr>
        <w:t>s</w:t>
      </w:r>
      <w:r w:rsidR="003C130B">
        <w:rPr>
          <w:rFonts w:asciiTheme="majorBidi" w:hAnsiTheme="majorBidi" w:cstheme="majorBidi"/>
          <w:sz w:val="24"/>
          <w:szCs w:val="24"/>
        </w:rPr>
        <w:t xml:space="preserve"> </w:t>
      </w:r>
      <w:r w:rsidR="003C130B" w:rsidRPr="000C10AF">
        <w:rPr>
          <w:rFonts w:asciiTheme="majorBidi" w:hAnsiTheme="majorBidi" w:cstheme="majorBidi"/>
          <w:sz w:val="24"/>
          <w:szCs w:val="24"/>
          <w:lang w:val="en"/>
        </w:rPr>
        <w:t>the corresponding derivatives</w:t>
      </w:r>
      <w:r w:rsidR="007E3A7F">
        <w:rPr>
          <w:rFonts w:asciiTheme="majorBidi" w:hAnsiTheme="majorBidi" w:cstheme="majorBidi"/>
          <w:sz w:val="24"/>
          <w:szCs w:val="24"/>
          <w:lang w:val="en"/>
        </w:rPr>
        <w:t xml:space="preserve"> 6</w:t>
      </w:r>
      <w:r w:rsidR="003C130B" w:rsidRPr="000C10AF">
        <w:rPr>
          <w:rFonts w:asciiTheme="majorBidi" w:hAnsiTheme="majorBidi" w:cstheme="majorBidi"/>
          <w:sz w:val="24"/>
          <w:szCs w:val="24"/>
          <w:lang w:val="en"/>
        </w:rPr>
        <w:t xml:space="preserve"> were synthesized</w:t>
      </w:r>
      <w:r w:rsidR="003C130B">
        <w:rPr>
          <w:rFonts w:asciiTheme="majorBidi" w:hAnsiTheme="majorBidi" w:cstheme="majorBidi"/>
          <w:sz w:val="24"/>
          <w:szCs w:val="24"/>
          <w:lang w:val="en"/>
        </w:rPr>
        <w:t>.</w:t>
      </w:r>
    </w:p>
    <w:p w:rsidR="004E75C8" w:rsidRPr="00F40107" w:rsidRDefault="0077594C" w:rsidP="00C215DB">
      <w:pPr>
        <w:bidi w:val="0"/>
        <w:spacing w:line="276" w:lineRule="auto"/>
        <w:rPr>
          <w:rFonts w:cs="Zar"/>
          <w:b/>
          <w:bCs/>
          <w:color w:val="000000" w:themeColor="text1"/>
          <w:sz w:val="24"/>
          <w:szCs w:val="24"/>
          <w:lang w:bidi="fa-IR"/>
        </w:rPr>
      </w:pPr>
      <w:r w:rsidRPr="00F40107">
        <w:rPr>
          <w:rFonts w:cs="Zar"/>
          <w:b/>
          <w:bCs/>
          <w:color w:val="000000" w:themeColor="text1"/>
          <w:sz w:val="24"/>
          <w:szCs w:val="24"/>
          <w:lang w:bidi="fa-IR"/>
        </w:rPr>
        <w:t>Results and Discussion:</w:t>
      </w:r>
    </w:p>
    <w:p w:rsidR="004E75C8" w:rsidRDefault="00897A41" w:rsidP="00C215DB">
      <w:pPr>
        <w:bidi w:val="0"/>
        <w:spacing w:line="276" w:lineRule="auto"/>
        <w:jc w:val="both"/>
        <w:rPr>
          <w:color w:val="000000" w:themeColor="text1"/>
          <w:sz w:val="24"/>
          <w:szCs w:val="24"/>
        </w:rPr>
      </w:pPr>
      <w:r>
        <w:rPr>
          <w:color w:val="000000" w:themeColor="text1"/>
          <w:sz w:val="24"/>
          <w:szCs w:val="24"/>
        </w:rPr>
        <w:t xml:space="preserve">Based on scheme 1 O-Prenyled drivatives </w:t>
      </w:r>
      <w:r w:rsidR="00065CFB">
        <w:rPr>
          <w:color w:val="000000" w:themeColor="text1"/>
          <w:sz w:val="24"/>
          <w:szCs w:val="24"/>
        </w:rPr>
        <w:t xml:space="preserve">6 </w:t>
      </w:r>
      <w:r>
        <w:rPr>
          <w:color w:val="000000" w:themeColor="text1"/>
          <w:sz w:val="24"/>
          <w:szCs w:val="24"/>
        </w:rPr>
        <w:t>were o</w:t>
      </w:r>
      <w:r w:rsidR="00A53C89">
        <w:rPr>
          <w:color w:val="000000" w:themeColor="text1"/>
          <w:sz w:val="24"/>
          <w:szCs w:val="24"/>
        </w:rPr>
        <w:t>btained from prenyl bromid in DM</w:t>
      </w:r>
      <w:r>
        <w:rPr>
          <w:color w:val="000000" w:themeColor="text1"/>
          <w:sz w:val="24"/>
          <w:szCs w:val="24"/>
        </w:rPr>
        <w:t xml:space="preserve">F in present of base ,after synthesis </w:t>
      </w:r>
      <w:r w:rsidR="003523FF">
        <w:rPr>
          <w:color w:val="000000" w:themeColor="text1"/>
          <w:sz w:val="24"/>
          <w:szCs w:val="24"/>
        </w:rPr>
        <w:t>3-acetyl-2</w:t>
      </w:r>
      <w:r w:rsidR="007A19D5">
        <w:rPr>
          <w:color w:val="000000" w:themeColor="text1"/>
          <w:sz w:val="24"/>
          <w:szCs w:val="24"/>
        </w:rPr>
        <w:t>-thiocoumarin compound</w:t>
      </w:r>
      <w:r w:rsidR="00065CFB">
        <w:rPr>
          <w:color w:val="000000" w:themeColor="text1"/>
          <w:sz w:val="24"/>
          <w:szCs w:val="24"/>
        </w:rPr>
        <w:t xml:space="preserve"> 5</w:t>
      </w:r>
      <w:r w:rsidR="007A19D5">
        <w:rPr>
          <w:color w:val="000000" w:themeColor="text1"/>
          <w:sz w:val="24"/>
          <w:szCs w:val="24"/>
        </w:rPr>
        <w:t xml:space="preserve"> that was prepared from reaction of            </w:t>
      </w:r>
      <m:oMath>
        <m:r>
          <w:rPr>
            <w:rFonts w:ascii="Cambria Math" w:eastAsiaTheme="minorHAnsi" w:hAnsi="Cambria Math" w:cs="AdvPS3F4C13"/>
            <w:noProof w:val="0"/>
            <w:sz w:val="24"/>
            <w:szCs w:val="24"/>
          </w:rPr>
          <m:t>β</m:t>
        </m:r>
      </m:oMath>
      <w:r w:rsidR="007A19D5">
        <w:rPr>
          <w:rFonts w:eastAsiaTheme="minorHAnsi" w:cs="Times New Roman"/>
          <w:noProof w:val="0"/>
          <w:sz w:val="24"/>
          <w:szCs w:val="24"/>
        </w:rPr>
        <w:t>-</w:t>
      </w:r>
      <w:r w:rsidR="007A19D5" w:rsidRPr="00A4576E">
        <w:rPr>
          <w:rFonts w:eastAsiaTheme="minorHAnsi" w:cs="Times New Roman"/>
          <w:noProof w:val="0"/>
          <w:sz w:val="24"/>
          <w:szCs w:val="24"/>
        </w:rPr>
        <w:t>Oxodithioesters</w:t>
      </w:r>
      <w:r w:rsidR="007A19D5">
        <w:rPr>
          <w:color w:val="000000" w:themeColor="text1"/>
          <w:sz w:val="24"/>
          <w:szCs w:val="24"/>
        </w:rPr>
        <w:t xml:space="preserve"> with intended benzaldehyde. </w:t>
      </w:r>
      <w:r w:rsidR="0077594C" w:rsidRPr="00C930B9">
        <w:rPr>
          <w:color w:val="000000" w:themeColor="text1"/>
          <w:sz w:val="24"/>
          <w:szCs w:val="24"/>
        </w:rPr>
        <w:t xml:space="preserve">The inhibitory activity of the synthetic compounds against soybean 15-LOX  was determined utilizing modified catalytic oxidative coupling of 3-methyl-2-benzothiazolinone (MBTH) with 3-(dimethylamino) benzoic acid (DMAB) as reported in previous studies. In this method, the basis for the determination of lipoxygenase activity is the measurement of peroxide concentration. Among the synthetic </w:t>
      </w:r>
      <w:r w:rsidR="005D1AAB">
        <w:rPr>
          <w:color w:val="000000" w:themeColor="text1"/>
          <w:sz w:val="24"/>
          <w:szCs w:val="24"/>
        </w:rPr>
        <w:t>O</w:t>
      </w:r>
      <w:r w:rsidR="0077594C" w:rsidRPr="00C930B9">
        <w:rPr>
          <w:color w:val="000000" w:themeColor="text1"/>
          <w:sz w:val="24"/>
          <w:szCs w:val="24"/>
        </w:rPr>
        <w:t xml:space="preserve">-prenylated compounds,5 –farnesyloxy had the best result on the soybean 15-LOX. Bonding affinity of the designed molecular structures toward soybean 15-LOX was studied. Docked conformers were generated in AutoDockTools (ADT) software. In docking process, flexible side chain of the active site pocket residues of soybean 15-LOX were allowed to be To perform better analysis on docking results, the average Ki (estimated inhibitory constant) of the most populated cluster (KiMPC), average of all the lowest Ki from each cluster (KiLEC), average Ki of all the conformers (KiAC) and average Ki of a cluster in which lactone portion of thiocoumarin directed towards Fe-OH core (KiLFC), were calculated for each compound. Among the four clusters, there was only an acceptable convergence between </w:t>
      </w:r>
      <w:bookmarkStart w:id="1" w:name="OLE_LINK5"/>
      <w:r w:rsidR="0077594C" w:rsidRPr="00C930B9">
        <w:rPr>
          <w:color w:val="000000" w:themeColor="text1"/>
          <w:sz w:val="24"/>
          <w:szCs w:val="24"/>
        </w:rPr>
        <w:t>Ki</w:t>
      </w:r>
      <w:bookmarkEnd w:id="1"/>
      <w:r w:rsidR="0077594C" w:rsidRPr="00C930B9">
        <w:rPr>
          <w:color w:val="000000" w:themeColor="text1"/>
          <w:sz w:val="24"/>
          <w:szCs w:val="24"/>
        </w:rPr>
        <w:t>LFC and IC</w:t>
      </w:r>
      <w:r w:rsidR="0077594C" w:rsidRPr="00227859">
        <w:rPr>
          <w:color w:val="000000" w:themeColor="text1"/>
          <w:sz w:val="24"/>
          <w:szCs w:val="24"/>
          <w:vertAlign w:val="subscript"/>
        </w:rPr>
        <w:t>50</w:t>
      </w:r>
      <w:r w:rsidR="0077594C" w:rsidRPr="00C930B9">
        <w:rPr>
          <w:color w:val="000000" w:themeColor="text1"/>
          <w:sz w:val="24"/>
          <w:szCs w:val="24"/>
        </w:rPr>
        <w:t xml:space="preserve"> results. This convergence was significantly observed for farnesyl and geranyl derivatives. In the earlier mentioned cluster (LFC), most of the conformers have hydrogen bonds with Fe-OH core through their </w:t>
      </w:r>
      <w:r w:rsidR="002A1CB9" w:rsidRPr="00C930B9">
        <w:rPr>
          <w:color w:val="000000" w:themeColor="text1"/>
          <w:sz w:val="24"/>
          <w:szCs w:val="24"/>
        </w:rPr>
        <w:t>acetyl</w:t>
      </w:r>
      <w:r w:rsidR="0077594C" w:rsidRPr="00C930B9">
        <w:rPr>
          <w:color w:val="000000" w:themeColor="text1"/>
          <w:sz w:val="24"/>
          <w:szCs w:val="24"/>
        </w:rPr>
        <w:t xml:space="preserve"> groups and their prenyl portion are covered by side chain </w:t>
      </w:r>
      <w:r w:rsidR="0077594C" w:rsidRPr="00C215DB">
        <w:rPr>
          <w:color w:val="000000" w:themeColor="text1"/>
          <w:sz w:val="24"/>
          <w:szCs w:val="24"/>
        </w:rPr>
        <w:t>of</w:t>
      </w:r>
      <w:r w:rsidR="00227859" w:rsidRPr="00C215DB">
        <w:rPr>
          <w:color w:val="000000" w:themeColor="text1"/>
          <w:sz w:val="24"/>
          <w:szCs w:val="24"/>
        </w:rPr>
        <w:t xml:space="preserve"> some of amino acids in active side</w:t>
      </w:r>
      <w:r w:rsidR="0077594C" w:rsidRPr="00C930B9">
        <w:rPr>
          <w:color w:val="000000" w:themeColor="text1"/>
          <w:sz w:val="24"/>
          <w:szCs w:val="24"/>
        </w:rPr>
        <w:t>. In addition, the ability of the prenyl portion of the compounds to fill the lipophilic pocket which is formed by Ile663, Ala404, Arg403 (butyl portion), Ile400, Ile173 and Phe167 side chains can explain the direct relationship between lipoxygenase inhibition p</w:t>
      </w:r>
      <w:r w:rsidR="00A72556">
        <w:rPr>
          <w:color w:val="000000" w:themeColor="text1"/>
          <w:sz w:val="24"/>
          <w:szCs w:val="24"/>
        </w:rPr>
        <w:t>otency and prenyl length chain [3,4].</w:t>
      </w:r>
    </w:p>
    <w:p w:rsidR="00883A9C" w:rsidRDefault="00A53C89" w:rsidP="00C215DB">
      <w:pPr>
        <w:spacing w:line="276" w:lineRule="auto"/>
        <w:jc w:val="center"/>
      </w:pPr>
      <w:r>
        <w:object w:dxaOrig="4471" w:dyaOrig="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49.65pt" o:ole="">
            <v:imagedata r:id="rId7" o:title=""/>
          </v:shape>
          <o:OLEObject Type="Embed" ProgID="ChemDraw.Document.6.0" ShapeID="_x0000_i1025" DrawAspect="Content" ObjectID="_1547771397" r:id="rId8"/>
        </w:object>
      </w:r>
    </w:p>
    <w:p w:rsidR="00393EA0" w:rsidRDefault="00393EA0" w:rsidP="00C215DB">
      <w:pPr>
        <w:bidi w:val="0"/>
        <w:spacing w:line="276" w:lineRule="auto"/>
        <w:jc w:val="both"/>
        <w:rPr>
          <w:color w:val="000000" w:themeColor="text1"/>
          <w:sz w:val="24"/>
          <w:szCs w:val="24"/>
        </w:rPr>
      </w:pPr>
    </w:p>
    <w:p w:rsidR="00883A9C" w:rsidRDefault="002017C9" w:rsidP="00C215DB">
      <w:pPr>
        <w:bidi w:val="0"/>
        <w:spacing w:line="276" w:lineRule="auto"/>
        <w:jc w:val="center"/>
        <w:rPr>
          <w:color w:val="000000" w:themeColor="text1"/>
          <w:sz w:val="24"/>
          <w:szCs w:val="24"/>
        </w:rPr>
      </w:pPr>
      <w:r>
        <w:rPr>
          <w:color w:val="000000" w:themeColor="text1"/>
          <w:sz w:val="24"/>
          <w:szCs w:val="24"/>
        </w:rPr>
        <w:t>Scheme 1</w:t>
      </w:r>
    </w:p>
    <w:p w:rsidR="00C215DB" w:rsidRPr="00C930B9" w:rsidRDefault="00C215DB" w:rsidP="00C215DB">
      <w:pPr>
        <w:bidi w:val="0"/>
        <w:spacing w:line="276" w:lineRule="auto"/>
        <w:jc w:val="center"/>
        <w:rPr>
          <w:color w:val="000000" w:themeColor="text1"/>
          <w:sz w:val="24"/>
          <w:szCs w:val="24"/>
        </w:rPr>
      </w:pPr>
    </w:p>
    <w:p w:rsidR="00527F56" w:rsidRPr="00F40107" w:rsidRDefault="00527F56" w:rsidP="00C215DB">
      <w:pPr>
        <w:spacing w:line="276" w:lineRule="auto"/>
        <w:jc w:val="right"/>
        <w:rPr>
          <w:b/>
          <w:bCs/>
          <w:sz w:val="24"/>
          <w:szCs w:val="24"/>
        </w:rPr>
      </w:pPr>
      <w:r w:rsidRPr="00F40107">
        <w:rPr>
          <w:b/>
          <w:bCs/>
          <w:sz w:val="24"/>
          <w:szCs w:val="24"/>
        </w:rPr>
        <w:t>Conclusion:</w:t>
      </w:r>
    </w:p>
    <w:p w:rsidR="001F68CF" w:rsidRPr="005D1AAB" w:rsidRDefault="002B4B1F" w:rsidP="00C215DB">
      <w:pPr>
        <w:bidi w:val="0"/>
        <w:spacing w:line="276" w:lineRule="auto"/>
        <w:jc w:val="both"/>
        <w:rPr>
          <w:color w:val="000000" w:themeColor="text1"/>
          <w:sz w:val="24"/>
          <w:szCs w:val="24"/>
        </w:rPr>
      </w:pPr>
      <w:r w:rsidRPr="00C930B9">
        <w:rPr>
          <w:color w:val="000000" w:themeColor="text1"/>
          <w:sz w:val="24"/>
          <w:szCs w:val="24"/>
        </w:rPr>
        <w:t xml:space="preserve">In this research, compound of </w:t>
      </w:r>
      <w:r w:rsidR="00530C15" w:rsidRPr="00C930B9">
        <w:rPr>
          <w:color w:val="000000" w:themeColor="text1"/>
          <w:sz w:val="24"/>
          <w:szCs w:val="24"/>
        </w:rPr>
        <w:t>3-acetylthiocoumarin</w:t>
      </w:r>
      <w:r w:rsidRPr="00C930B9">
        <w:rPr>
          <w:color w:val="000000" w:themeColor="text1"/>
          <w:sz w:val="24"/>
          <w:szCs w:val="24"/>
        </w:rPr>
        <w:t xml:space="preserve"> was synthesized and derivated by combination of prenyl bromide. These derivatives are reviewed by using the molecular docking techniques and their tension of inhibition are surveyed on 15-lipoxygenase enzyme</w:t>
      </w:r>
      <w:r w:rsidR="005B1A8D" w:rsidRPr="00C930B9">
        <w:rPr>
          <w:color w:val="000000" w:themeColor="text1"/>
          <w:sz w:val="24"/>
          <w:szCs w:val="24"/>
        </w:rPr>
        <w:t>. In the following, these mentioned compound</w:t>
      </w:r>
      <w:r w:rsidR="00E512B5">
        <w:rPr>
          <w:color w:val="000000" w:themeColor="text1"/>
          <w:sz w:val="24"/>
          <w:szCs w:val="24"/>
        </w:rPr>
        <w:t xml:space="preserve"> were</w:t>
      </w:r>
      <w:r w:rsidR="005B1A8D" w:rsidRPr="00C930B9">
        <w:rPr>
          <w:color w:val="000000" w:themeColor="text1"/>
          <w:sz w:val="24"/>
          <w:szCs w:val="24"/>
        </w:rPr>
        <w:t xml:space="preserve"> compered with prenyled coumarin deravitives in terms of inhibitory activity against on 15-lipoxygenase enzyme</w:t>
      </w:r>
      <w:r w:rsidR="00E512B5">
        <w:rPr>
          <w:color w:val="000000" w:themeColor="text1"/>
          <w:sz w:val="24"/>
          <w:szCs w:val="24"/>
        </w:rPr>
        <w:t xml:space="preserve"> ,</w:t>
      </w:r>
      <w:r w:rsidR="00E512B5" w:rsidRPr="00E512B5">
        <w:t xml:space="preserve"> </w:t>
      </w:r>
      <w:r w:rsidR="00E512B5" w:rsidRPr="00E512B5">
        <w:rPr>
          <w:sz w:val="24"/>
          <w:szCs w:val="24"/>
        </w:rPr>
        <w:t xml:space="preserve">There was a direct relationship between lipoxygenase inhibitory </w:t>
      </w:r>
      <w:r w:rsidR="00E512B5">
        <w:rPr>
          <w:sz w:val="24"/>
          <w:szCs w:val="24"/>
        </w:rPr>
        <w:t>potency and prenyl length chain</w:t>
      </w:r>
      <w:r w:rsidR="005B1A8D" w:rsidRPr="00C930B9">
        <w:rPr>
          <w:color w:val="000000" w:themeColor="text1"/>
          <w:sz w:val="24"/>
          <w:szCs w:val="24"/>
        </w:rPr>
        <w:t>.</w:t>
      </w:r>
      <w:r w:rsidR="00417723" w:rsidRPr="00C930B9">
        <w:rPr>
          <w:color w:val="000000" w:themeColor="text1"/>
          <w:sz w:val="24"/>
          <w:szCs w:val="24"/>
        </w:rPr>
        <w:t xml:space="preserve"> generally, 5-O-prenyled compounds [1] were shown to have a better effect on 15-LOX</w:t>
      </w:r>
      <w:r w:rsidR="00D63E9E" w:rsidRPr="00C930B9">
        <w:rPr>
          <w:color w:val="000000" w:themeColor="text1"/>
          <w:sz w:val="24"/>
          <w:szCs w:val="24"/>
        </w:rPr>
        <w:t>.</w:t>
      </w:r>
    </w:p>
    <w:p w:rsidR="00417723" w:rsidRPr="00F40107" w:rsidRDefault="00527F56" w:rsidP="00C215DB">
      <w:pPr>
        <w:spacing w:line="276" w:lineRule="auto"/>
        <w:jc w:val="right"/>
        <w:rPr>
          <w:b/>
          <w:bCs/>
          <w:sz w:val="24"/>
          <w:szCs w:val="24"/>
        </w:rPr>
      </w:pPr>
      <w:r w:rsidRPr="00F40107">
        <w:rPr>
          <w:b/>
          <w:bCs/>
          <w:sz w:val="24"/>
          <w:szCs w:val="24"/>
        </w:rPr>
        <w:t>References:</w:t>
      </w:r>
    </w:p>
    <w:p w:rsidR="00417723" w:rsidRPr="005D1AAB" w:rsidRDefault="00417723" w:rsidP="00C215DB">
      <w:pPr>
        <w:spacing w:line="276" w:lineRule="auto"/>
        <w:jc w:val="right"/>
        <w:rPr>
          <w:rFonts w:eastAsiaTheme="minorHAnsi" w:cs="Times New Roman"/>
          <w:noProof w:val="0"/>
          <w:sz w:val="24"/>
          <w:szCs w:val="24"/>
        </w:rPr>
      </w:pPr>
      <w:r w:rsidRPr="00C930B9">
        <w:rPr>
          <w:rFonts w:eastAsiaTheme="minorHAnsi" w:cs="Times New Roman"/>
          <w:noProof w:val="0"/>
          <w:sz w:val="24"/>
          <w:szCs w:val="24"/>
        </w:rPr>
        <w:t>[1] M. Iranshahi et al. / European Journal of Medicinal Chemistry 57 (2012) 134</w:t>
      </w:r>
      <w:r w:rsidR="009C11D1" w:rsidRPr="00C930B9">
        <w:rPr>
          <w:rFonts w:eastAsiaTheme="minorHAnsi" w:cs="Times New Roman"/>
          <w:noProof w:val="0"/>
          <w:sz w:val="24"/>
          <w:szCs w:val="24"/>
        </w:rPr>
        <w:t>-</w:t>
      </w:r>
      <w:r w:rsidRPr="00C930B9">
        <w:rPr>
          <w:rFonts w:eastAsiaTheme="minorHAnsi" w:cs="Times New Roman"/>
          <w:noProof w:val="0"/>
          <w:sz w:val="24"/>
          <w:szCs w:val="24"/>
        </w:rPr>
        <w:t>142</w:t>
      </w:r>
    </w:p>
    <w:p w:rsidR="004E75C8" w:rsidRPr="005D1AAB" w:rsidRDefault="00417723" w:rsidP="00C215DB">
      <w:pPr>
        <w:spacing w:line="276" w:lineRule="auto"/>
        <w:jc w:val="right"/>
        <w:rPr>
          <w:rFonts w:cs="Times New Roman"/>
          <w:b/>
          <w:bCs/>
          <w:sz w:val="24"/>
          <w:szCs w:val="24"/>
        </w:rPr>
      </w:pPr>
      <w:r w:rsidRPr="00C930B9">
        <w:rPr>
          <w:rFonts w:eastAsiaTheme="minorHAnsi" w:cs="Times New Roman"/>
          <w:noProof w:val="0"/>
          <w:sz w:val="24"/>
          <w:szCs w:val="24"/>
        </w:rPr>
        <w:t>[2</w:t>
      </w:r>
      <w:r w:rsidRPr="00D425B6">
        <w:rPr>
          <w:rFonts w:eastAsiaTheme="minorHAnsi" w:cs="Times New Roman"/>
          <w:noProof w:val="0"/>
          <w:sz w:val="24"/>
          <w:szCs w:val="24"/>
        </w:rPr>
        <w:t>]</w:t>
      </w:r>
      <w:r w:rsidR="00D425B6" w:rsidRPr="00D425B6">
        <w:rPr>
          <w:rFonts w:eastAsiaTheme="minorHAnsi" w:cs="Times New Roman"/>
          <w:noProof w:val="0"/>
          <w:sz w:val="24"/>
          <w:szCs w:val="24"/>
        </w:rPr>
        <w:t xml:space="preserve"> O.M. Singh et al. / European Journal of Medicinal Chemistry 45 (2010) 2250–225</w:t>
      </w:r>
      <w:r w:rsidR="00D425B6" w:rsidRPr="00D425B6">
        <w:rPr>
          <w:rFonts w:ascii="New" w:eastAsiaTheme="minorHAnsi" w:hAnsi="New" w:cs="AdvOTb92eb7df.I"/>
          <w:noProof w:val="0"/>
          <w:sz w:val="24"/>
          <w:szCs w:val="24"/>
        </w:rPr>
        <w:t>7</w:t>
      </w:r>
    </w:p>
    <w:p w:rsidR="00417723" w:rsidRPr="00C930B9" w:rsidRDefault="00417723" w:rsidP="00C215DB">
      <w:pPr>
        <w:bidi w:val="0"/>
        <w:spacing w:after="240" w:line="276" w:lineRule="auto"/>
        <w:contextualSpacing/>
        <w:jc w:val="both"/>
        <w:rPr>
          <w:sz w:val="24"/>
          <w:szCs w:val="24"/>
        </w:rPr>
      </w:pPr>
      <w:r w:rsidRPr="00C930B9">
        <w:rPr>
          <w:sz w:val="24"/>
          <w:szCs w:val="24"/>
        </w:rPr>
        <w:t>[3] L. Toledo, L. Masgrau, J.D. Mare´chal, J.M.. Lluch, A. Gonza´lez-Lafont, Insights into the Mechanism of Binding of Arachidonic Acid to Mammalian 15-Lipoxygenases, J. Phys. Chem. B.</w:t>
      </w:r>
      <w:r w:rsidRPr="00C930B9">
        <w:rPr>
          <w:i/>
          <w:iCs/>
          <w:sz w:val="24"/>
          <w:szCs w:val="24"/>
        </w:rPr>
        <w:t xml:space="preserve"> </w:t>
      </w:r>
      <w:r w:rsidRPr="00C930B9">
        <w:rPr>
          <w:sz w:val="24"/>
          <w:szCs w:val="24"/>
        </w:rPr>
        <w:t>114 (2010) 7037–7046.</w:t>
      </w:r>
    </w:p>
    <w:p w:rsidR="00417723" w:rsidRPr="00C930B9" w:rsidRDefault="00417723" w:rsidP="00C215DB">
      <w:pPr>
        <w:bidi w:val="0"/>
        <w:spacing w:after="240" w:line="276" w:lineRule="auto"/>
        <w:contextualSpacing/>
        <w:jc w:val="both"/>
        <w:rPr>
          <w:sz w:val="24"/>
          <w:szCs w:val="24"/>
        </w:rPr>
      </w:pPr>
      <w:r w:rsidRPr="00C930B9">
        <w:rPr>
          <w:sz w:val="24"/>
          <w:szCs w:val="24"/>
        </w:rPr>
        <w:t>[4] J. Choi, J.K. Chon, S. Kim, W. Shin, Conformational flexibility in mammalian 15S-lipoxygenase: Reinterpretation of the crystallogra</w:t>
      </w:r>
      <w:r w:rsidR="001F68CF" w:rsidRPr="00C930B9">
        <w:rPr>
          <w:sz w:val="24"/>
          <w:szCs w:val="24"/>
        </w:rPr>
        <w:t xml:space="preserve">phic data, Proteins. 70 (2008) </w:t>
      </w:r>
      <w:r w:rsidRPr="00C930B9">
        <w:rPr>
          <w:sz w:val="24"/>
          <w:szCs w:val="24"/>
        </w:rPr>
        <w:t>1023</w:t>
      </w:r>
      <w:r w:rsidRPr="00C930B9">
        <w:rPr>
          <w:rFonts w:hint="eastAsia"/>
          <w:sz w:val="24"/>
          <w:szCs w:val="24"/>
        </w:rPr>
        <w:t>–</w:t>
      </w:r>
      <w:r w:rsidRPr="00C930B9">
        <w:rPr>
          <w:sz w:val="24"/>
          <w:szCs w:val="24"/>
        </w:rPr>
        <w:t>1032.</w:t>
      </w:r>
    </w:p>
    <w:p w:rsidR="00B84397" w:rsidRPr="00B84397" w:rsidRDefault="00B84397" w:rsidP="00C215DB">
      <w:pPr>
        <w:bidi w:val="0"/>
        <w:spacing w:line="276" w:lineRule="auto"/>
        <w:rPr>
          <w:rFonts w:cs="B Nazanin+ Regular"/>
          <w:b/>
          <w:bCs/>
          <w:sz w:val="26"/>
          <w:szCs w:val="26"/>
          <w:lang w:bidi="fa-IR"/>
        </w:rPr>
      </w:pPr>
    </w:p>
    <w:p w:rsidR="003259A9" w:rsidRDefault="003259A9" w:rsidP="00C215DB">
      <w:pPr>
        <w:spacing w:line="276" w:lineRule="auto"/>
      </w:pPr>
    </w:p>
    <w:sectPr w:rsidR="003259A9" w:rsidSect="009C11D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85" w:rsidRDefault="00F55885" w:rsidP="00A51192">
      <w:r>
        <w:separator/>
      </w:r>
    </w:p>
  </w:endnote>
  <w:endnote w:type="continuationSeparator" w:id="0">
    <w:p w:rsidR="00F55885" w:rsidRDefault="00F55885" w:rsidP="00A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B Nazanin+ Regular">
    <w:altName w:val="Times New Roman"/>
    <w:charset w:val="B2"/>
    <w:family w:val="auto"/>
    <w:pitch w:val="variable"/>
    <w:sig w:usb0="00002000" w:usb1="80002042" w:usb2="00000008" w:usb3="00000000" w:csb0="00000040" w:csb1="00000000"/>
  </w:font>
  <w:font w:name="Zar">
    <w:altName w:val="Courier New"/>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dvPS3F4C13">
    <w:panose1 w:val="00000000000000000000"/>
    <w:charset w:val="00"/>
    <w:family w:val="swiss"/>
    <w:notTrueType/>
    <w:pitch w:val="default"/>
    <w:sig w:usb0="00000003" w:usb1="00000000" w:usb2="00000000" w:usb3="00000000" w:csb0="00000001" w:csb1="00000000"/>
  </w:font>
  <w:font w:name="AdvOT863180fb">
    <w:altName w:val="Times New Roman"/>
    <w:panose1 w:val="00000000000000000000"/>
    <w:charset w:val="00"/>
    <w:family w:val="auto"/>
    <w:notTrueType/>
    <w:pitch w:val="default"/>
    <w:sig w:usb0="00000003" w:usb1="00000000" w:usb2="00000000" w:usb3="00000000" w:csb0="00000001" w:csb1="00000000"/>
  </w:font>
  <w:font w:name="New">
    <w:altName w:val="Times New Roman"/>
    <w:panose1 w:val="00000000000000000000"/>
    <w:charset w:val="00"/>
    <w:family w:val="roman"/>
    <w:notTrueType/>
    <w:pitch w:val="default"/>
  </w:font>
  <w:font w:name="AdvOTb92eb7df.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85" w:rsidRDefault="00F55885" w:rsidP="00A51192">
      <w:r>
        <w:separator/>
      </w:r>
    </w:p>
  </w:footnote>
  <w:footnote w:type="continuationSeparator" w:id="0">
    <w:p w:rsidR="00F55885" w:rsidRDefault="00F55885" w:rsidP="00A51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B43EF"/>
    <w:multiLevelType w:val="hybridMultilevel"/>
    <w:tmpl w:val="71D4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97"/>
    <w:rsid w:val="000170F3"/>
    <w:rsid w:val="00065CFB"/>
    <w:rsid w:val="000B0351"/>
    <w:rsid w:val="000D6BCF"/>
    <w:rsid w:val="000F3868"/>
    <w:rsid w:val="001F68CF"/>
    <w:rsid w:val="002017C9"/>
    <w:rsid w:val="00227859"/>
    <w:rsid w:val="002479D5"/>
    <w:rsid w:val="00283C6C"/>
    <w:rsid w:val="002A1CB9"/>
    <w:rsid w:val="002B4B1F"/>
    <w:rsid w:val="00313610"/>
    <w:rsid w:val="003259A9"/>
    <w:rsid w:val="003523FF"/>
    <w:rsid w:val="0038615C"/>
    <w:rsid w:val="00393EA0"/>
    <w:rsid w:val="003C130B"/>
    <w:rsid w:val="003E5DB1"/>
    <w:rsid w:val="00401602"/>
    <w:rsid w:val="00417723"/>
    <w:rsid w:val="0042575F"/>
    <w:rsid w:val="0048666E"/>
    <w:rsid w:val="004E5CFB"/>
    <w:rsid w:val="004E75C8"/>
    <w:rsid w:val="00527F56"/>
    <w:rsid w:val="00530C15"/>
    <w:rsid w:val="005374D1"/>
    <w:rsid w:val="00552549"/>
    <w:rsid w:val="005B1A8D"/>
    <w:rsid w:val="005B2E92"/>
    <w:rsid w:val="005D1AAB"/>
    <w:rsid w:val="005D2496"/>
    <w:rsid w:val="005E5068"/>
    <w:rsid w:val="005E6CFC"/>
    <w:rsid w:val="0062534E"/>
    <w:rsid w:val="006A6C47"/>
    <w:rsid w:val="006D3180"/>
    <w:rsid w:val="006F72BF"/>
    <w:rsid w:val="0073367E"/>
    <w:rsid w:val="00765DA5"/>
    <w:rsid w:val="0077594C"/>
    <w:rsid w:val="0079332C"/>
    <w:rsid w:val="007A19D5"/>
    <w:rsid w:val="007A4E4D"/>
    <w:rsid w:val="007A5D28"/>
    <w:rsid w:val="007B0876"/>
    <w:rsid w:val="007D736C"/>
    <w:rsid w:val="007E3A7F"/>
    <w:rsid w:val="0083776B"/>
    <w:rsid w:val="00883A9C"/>
    <w:rsid w:val="00897A41"/>
    <w:rsid w:val="008A4A76"/>
    <w:rsid w:val="00924B2F"/>
    <w:rsid w:val="00926C84"/>
    <w:rsid w:val="009C11D1"/>
    <w:rsid w:val="00A4576E"/>
    <w:rsid w:val="00A51192"/>
    <w:rsid w:val="00A53C89"/>
    <w:rsid w:val="00A72556"/>
    <w:rsid w:val="00A75651"/>
    <w:rsid w:val="00AA692B"/>
    <w:rsid w:val="00AE2C14"/>
    <w:rsid w:val="00B301D7"/>
    <w:rsid w:val="00B625F9"/>
    <w:rsid w:val="00B65057"/>
    <w:rsid w:val="00B73BBB"/>
    <w:rsid w:val="00B84397"/>
    <w:rsid w:val="00C01760"/>
    <w:rsid w:val="00C03F31"/>
    <w:rsid w:val="00C215DB"/>
    <w:rsid w:val="00C40F52"/>
    <w:rsid w:val="00C930B9"/>
    <w:rsid w:val="00CB0385"/>
    <w:rsid w:val="00CE2D72"/>
    <w:rsid w:val="00D066EB"/>
    <w:rsid w:val="00D266C2"/>
    <w:rsid w:val="00D425B6"/>
    <w:rsid w:val="00D63E9E"/>
    <w:rsid w:val="00E1675E"/>
    <w:rsid w:val="00E466A0"/>
    <w:rsid w:val="00E512B5"/>
    <w:rsid w:val="00E83DD5"/>
    <w:rsid w:val="00EA7609"/>
    <w:rsid w:val="00EE0BAC"/>
    <w:rsid w:val="00EE1797"/>
    <w:rsid w:val="00F15ECA"/>
    <w:rsid w:val="00F40107"/>
    <w:rsid w:val="00F55885"/>
    <w:rsid w:val="00FB5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78DDC-AA23-4244-AE44-C08376F1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97"/>
    <w:pPr>
      <w:bidi/>
      <w:spacing w:after="0" w:line="240" w:lineRule="auto"/>
    </w:pPr>
    <w:rPr>
      <w:rFonts w:ascii="Times New Roman" w:eastAsia="Times New Roman" w:hAnsi="Times New Roman" w:cs="B Lotu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192"/>
    <w:pPr>
      <w:tabs>
        <w:tab w:val="center" w:pos="4680"/>
        <w:tab w:val="right" w:pos="9360"/>
      </w:tabs>
    </w:pPr>
  </w:style>
  <w:style w:type="character" w:customStyle="1" w:styleId="HeaderChar">
    <w:name w:val="Header Char"/>
    <w:basedOn w:val="DefaultParagraphFont"/>
    <w:link w:val="Header"/>
    <w:uiPriority w:val="99"/>
    <w:rsid w:val="00A51192"/>
    <w:rPr>
      <w:rFonts w:ascii="Times New Roman" w:eastAsia="Times New Roman" w:hAnsi="Times New Roman" w:cs="B Lotus"/>
      <w:noProof/>
      <w:sz w:val="20"/>
      <w:szCs w:val="20"/>
    </w:rPr>
  </w:style>
  <w:style w:type="paragraph" w:styleId="Footer">
    <w:name w:val="footer"/>
    <w:basedOn w:val="Normal"/>
    <w:link w:val="FooterChar"/>
    <w:uiPriority w:val="99"/>
    <w:unhideWhenUsed/>
    <w:rsid w:val="00A51192"/>
    <w:pPr>
      <w:tabs>
        <w:tab w:val="center" w:pos="4680"/>
        <w:tab w:val="right" w:pos="9360"/>
      </w:tabs>
    </w:pPr>
  </w:style>
  <w:style w:type="character" w:customStyle="1" w:styleId="FooterChar">
    <w:name w:val="Footer Char"/>
    <w:basedOn w:val="DefaultParagraphFont"/>
    <w:link w:val="Footer"/>
    <w:uiPriority w:val="99"/>
    <w:rsid w:val="00A51192"/>
    <w:rPr>
      <w:rFonts w:ascii="Times New Roman" w:eastAsia="Times New Roman" w:hAnsi="Times New Roman" w:cs="B Lotus"/>
      <w:noProof/>
      <w:sz w:val="20"/>
      <w:szCs w:val="20"/>
    </w:rPr>
  </w:style>
  <w:style w:type="character" w:styleId="PlaceholderText">
    <w:name w:val="Placeholder Text"/>
    <w:basedOn w:val="DefaultParagraphFont"/>
    <w:uiPriority w:val="99"/>
    <w:semiHidden/>
    <w:rsid w:val="00A4576E"/>
    <w:rPr>
      <w:color w:val="808080"/>
    </w:rPr>
  </w:style>
  <w:style w:type="paragraph" w:styleId="HTMLPreformatted">
    <w:name w:val="HTML Preformatted"/>
    <w:basedOn w:val="Normal"/>
    <w:link w:val="HTMLPreformattedChar"/>
    <w:uiPriority w:val="99"/>
    <w:semiHidden/>
    <w:unhideWhenUsed/>
    <w:rsid w:val="003C1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noProof w:val="0"/>
    </w:rPr>
  </w:style>
  <w:style w:type="character" w:customStyle="1" w:styleId="HTMLPreformattedChar">
    <w:name w:val="HTML Preformatted Char"/>
    <w:basedOn w:val="DefaultParagraphFont"/>
    <w:link w:val="HTMLPreformatted"/>
    <w:uiPriority w:val="99"/>
    <w:semiHidden/>
    <w:rsid w:val="003C13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Sara Zerang</cp:lastModifiedBy>
  <cp:revision>2</cp:revision>
  <dcterms:created xsi:type="dcterms:W3CDTF">2017-02-05T11:44:00Z</dcterms:created>
  <dcterms:modified xsi:type="dcterms:W3CDTF">2017-02-05T11:44:00Z</dcterms:modified>
</cp:coreProperties>
</file>