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45DC6" w:rsidRDefault="00F8691C">
      <w:pPr>
        <w:spacing w:after="329" w:line="259" w:lineRule="auto"/>
        <w:ind w:left="-20" w:right="-114" w:firstLine="0"/>
        <w:jc w:val="left"/>
      </w:pPr>
      <w:r>
        <w:rPr>
          <w:rFonts w:ascii="Calibri" w:eastAsia="Calibri" w:hAnsi="Calibri" w:cs="Calibri"/>
          <w:noProof/>
          <w:sz w:val="22"/>
        </w:rPr>
        <mc:AlternateContent>
          <mc:Choice Requires="wpg">
            <w:drawing>
              <wp:inline distT="0" distB="0" distL="0" distR="0">
                <wp:extent cx="6349296" cy="1058445"/>
                <wp:effectExtent l="0" t="0" r="0" b="0"/>
                <wp:docPr id="12915" name="Group 12915"/>
                <wp:cNvGraphicFramePr/>
                <a:graphic xmlns:a="http://schemas.openxmlformats.org/drawingml/2006/main">
                  <a:graphicData uri="http://schemas.microsoft.com/office/word/2010/wordprocessingGroup">
                    <wpg:wgp>
                      <wpg:cNvGrpSpPr/>
                      <wpg:grpSpPr>
                        <a:xfrm>
                          <a:off x="0" y="0"/>
                          <a:ext cx="6349296" cy="1058445"/>
                          <a:chOff x="0" y="0"/>
                          <a:chExt cx="6349296" cy="1058445"/>
                        </a:xfrm>
                      </wpg:grpSpPr>
                      <pic:pic xmlns:pic="http://schemas.openxmlformats.org/drawingml/2006/picture">
                        <pic:nvPicPr>
                          <pic:cNvPr id="14" name="Picture 14"/>
                          <pic:cNvPicPr/>
                        </pic:nvPicPr>
                        <pic:blipFill>
                          <a:blip r:embed="rId7"/>
                          <a:stretch>
                            <a:fillRect/>
                          </a:stretch>
                        </pic:blipFill>
                        <pic:spPr>
                          <a:xfrm>
                            <a:off x="0" y="0"/>
                            <a:ext cx="6349296" cy="1058445"/>
                          </a:xfrm>
                          <a:prstGeom prst="rect">
                            <a:avLst/>
                          </a:prstGeom>
                        </pic:spPr>
                      </pic:pic>
                      <wps:wsp>
                        <wps:cNvPr id="15" name="Rectangle 15"/>
                        <wps:cNvSpPr/>
                        <wps:spPr>
                          <a:xfrm>
                            <a:off x="529433" y="403526"/>
                            <a:ext cx="5750085" cy="286768"/>
                          </a:xfrm>
                          <a:prstGeom prst="rect">
                            <a:avLst/>
                          </a:prstGeom>
                          <a:ln>
                            <a:noFill/>
                          </a:ln>
                        </wps:spPr>
                        <wps:txbx>
                          <w:txbxContent>
                            <w:p w:rsidR="00045DC6" w:rsidRDefault="00F8691C">
                              <w:pPr>
                                <w:spacing w:after="160" w:line="259" w:lineRule="auto"/>
                                <w:ind w:right="0" w:firstLine="0"/>
                                <w:jc w:val="left"/>
                              </w:pPr>
                              <w:r>
                                <w:rPr>
                                  <w:rFonts w:ascii="Times New Roman" w:eastAsia="Times New Roman" w:hAnsi="Times New Roman" w:cs="Times New Roman"/>
                                  <w:b/>
                                  <w:color w:val="FFFFFF"/>
                                  <w:sz w:val="38"/>
                                </w:rPr>
                                <w:t>Iranian Journal of Basic Medical Sciences</w:t>
                              </w:r>
                            </w:p>
                          </w:txbxContent>
                        </wps:txbx>
                        <wps:bodyPr horzOverflow="overflow" vert="horz" lIns="0" tIns="0" rIns="0" bIns="0" rtlCol="0">
                          <a:noAutofit/>
                        </wps:bodyPr>
                      </wps:wsp>
                      <wps:wsp>
                        <wps:cNvPr id="158" name="Rectangle 158"/>
                        <wps:cNvSpPr/>
                        <wps:spPr>
                          <a:xfrm>
                            <a:off x="2240546" y="743745"/>
                            <a:ext cx="1138960" cy="172044"/>
                          </a:xfrm>
                          <a:prstGeom prst="rect">
                            <a:avLst/>
                          </a:prstGeom>
                          <a:ln>
                            <a:noFill/>
                          </a:ln>
                        </wps:spPr>
                        <wps:txbx>
                          <w:txbxContent>
                            <w:p w:rsidR="00045DC6" w:rsidRDefault="00F8691C">
                              <w:pPr>
                                <w:spacing w:after="160" w:line="259" w:lineRule="auto"/>
                                <w:ind w:right="0" w:firstLine="0"/>
                                <w:jc w:val="left"/>
                              </w:pPr>
                              <w:hyperlink r:id="rId8">
                                <w:r>
                                  <w:rPr>
                                    <w:rFonts w:ascii="Calibri" w:eastAsia="Calibri" w:hAnsi="Calibri" w:cs="Calibri"/>
                                    <w:b/>
                                    <w:i/>
                                    <w:color w:val="FFFFFF"/>
                                  </w:rPr>
                                  <w:t>ijbms.mums.ac.i</w:t>
                                </w:r>
                              </w:hyperlink>
                            </w:p>
                          </w:txbxContent>
                        </wps:txbx>
                        <wps:bodyPr horzOverflow="overflow" vert="horz" lIns="0" tIns="0" rIns="0" bIns="0" rtlCol="0">
                          <a:noAutofit/>
                        </wps:bodyPr>
                      </wps:wsp>
                      <wps:wsp>
                        <wps:cNvPr id="159" name="Rectangle 159"/>
                        <wps:cNvSpPr/>
                        <wps:spPr>
                          <a:xfrm>
                            <a:off x="3096907" y="743745"/>
                            <a:ext cx="59456" cy="172044"/>
                          </a:xfrm>
                          <a:prstGeom prst="rect">
                            <a:avLst/>
                          </a:prstGeom>
                          <a:ln>
                            <a:noFill/>
                          </a:ln>
                        </wps:spPr>
                        <wps:txbx>
                          <w:txbxContent>
                            <w:p w:rsidR="00045DC6" w:rsidRDefault="00F8691C">
                              <w:pPr>
                                <w:spacing w:after="160" w:line="259" w:lineRule="auto"/>
                                <w:ind w:right="0" w:firstLine="0"/>
                                <w:jc w:val="left"/>
                              </w:pPr>
                              <w:hyperlink r:id="rId9">
                                <w:r>
                                  <w:rPr>
                                    <w:rFonts w:ascii="Calibri" w:eastAsia="Calibri" w:hAnsi="Calibri" w:cs="Calibri"/>
                                    <w:b/>
                                    <w:i/>
                                    <w:color w:val="FFFFFF"/>
                                  </w:rPr>
                                  <w:t>r</w:t>
                                </w:r>
                              </w:hyperlink>
                            </w:p>
                          </w:txbxContent>
                        </wps:txbx>
                        <wps:bodyPr horzOverflow="overflow" vert="horz" lIns="0" tIns="0" rIns="0" bIns="0" rtlCol="0">
                          <a:noAutofit/>
                        </wps:bodyPr>
                      </wps:wsp>
                    </wpg:wgp>
                  </a:graphicData>
                </a:graphic>
              </wp:inline>
            </w:drawing>
          </mc:Choice>
          <mc:Fallback xmlns:a="http://schemas.openxmlformats.org/drawingml/2006/main">
            <w:pict>
              <v:group id="Group 12915" style="width:499.945pt;height:83.3422pt;mso-position-horizontal-relative:char;mso-position-vertical-relative:line" coordsize="63492,10584">
                <v:shape id="Picture 14" style="position:absolute;width:63492;height:10584;left:0;top:0;" filled="f">
                  <v:imagedata r:id="rId10"/>
                </v:shape>
                <v:rect id="Rectangle 15" style="position:absolute;width:57500;height:2867;left:5294;top:4035;" filled="f" stroked="f">
                  <v:textbox inset="0,0,0,0">
                    <w:txbxContent>
                      <w:p>
                        <w:pPr>
                          <w:spacing w:before="0" w:after="160" w:line="259" w:lineRule="auto"/>
                          <w:ind w:right="0" w:firstLine="0"/>
                          <w:jc w:val="left"/>
                        </w:pPr>
                        <w:r>
                          <w:rPr>
                            <w:rFonts w:cs="Times New Roman" w:hAnsi="Times New Roman" w:eastAsia="Times New Roman" w:ascii="Times New Roman"/>
                            <w:b w:val="1"/>
                            <w:color w:val="ffffff"/>
                            <w:sz w:val="38"/>
                          </w:rPr>
                          <w:t xml:space="preserve">Iranian Journal of Basic Medical Sciences</w:t>
                        </w:r>
                      </w:p>
                    </w:txbxContent>
                  </v:textbox>
                </v:rect>
                <v:rect id="Rectangle 158" style="position:absolute;width:11389;height:1720;left:22405;top:7437;" filled="f" stroked="f">
                  <v:textbox inset="0,0,0,0">
                    <w:txbxContent>
                      <w:p>
                        <w:pPr>
                          <w:spacing w:before="0" w:after="160" w:line="259" w:lineRule="auto"/>
                          <w:ind w:right="0" w:firstLine="0"/>
                          <w:jc w:val="left"/>
                        </w:pPr>
                        <w:hyperlink r:id="hyperlink157">
                          <w:r>
                            <w:rPr>
                              <w:rFonts w:cs="Calibri" w:hAnsi="Calibri" w:eastAsia="Calibri" w:ascii="Calibri"/>
                              <w:b w:val="1"/>
                              <w:i w:val="1"/>
                              <w:color w:val="ffffff"/>
                            </w:rPr>
                            <w:t xml:space="preserve">ijbms.mums.ac.i</w:t>
                          </w:r>
                        </w:hyperlink>
                      </w:p>
                    </w:txbxContent>
                  </v:textbox>
                </v:rect>
                <v:rect id="Rectangle 159" style="position:absolute;width:594;height:1720;left:30969;top:7437;" filled="f" stroked="f">
                  <v:textbox inset="0,0,0,0">
                    <w:txbxContent>
                      <w:p>
                        <w:pPr>
                          <w:spacing w:before="0" w:after="160" w:line="259" w:lineRule="auto"/>
                          <w:ind w:right="0" w:firstLine="0"/>
                          <w:jc w:val="left"/>
                        </w:pPr>
                        <w:hyperlink r:id="hyperlink157">
                          <w:r>
                            <w:rPr>
                              <w:rFonts w:cs="Calibri" w:hAnsi="Calibri" w:eastAsia="Calibri" w:ascii="Calibri"/>
                              <w:b w:val="1"/>
                              <w:i w:val="1"/>
                              <w:color w:val="ffffff"/>
                            </w:rPr>
                            <w:t xml:space="preserve">r</w:t>
                          </w:r>
                        </w:hyperlink>
                      </w:p>
                    </w:txbxContent>
                  </v:textbox>
                </v:rect>
              </v:group>
            </w:pict>
          </mc:Fallback>
        </mc:AlternateContent>
      </w:r>
    </w:p>
    <w:p w:rsidR="00045DC6" w:rsidRDefault="00F8691C">
      <w:pPr>
        <w:spacing w:after="50" w:line="216" w:lineRule="auto"/>
        <w:ind w:right="0" w:firstLine="0"/>
      </w:pPr>
      <w:r>
        <w:rPr>
          <w:color w:val="0000AE"/>
          <w:sz w:val="36"/>
        </w:rPr>
        <w:t xml:space="preserve">Moisturizing effects of solid lipid nanoparticles (SLN) and nanostructured lipid carriers (NLC) using deionized and magnetized water by </w:t>
      </w:r>
      <w:r>
        <w:rPr>
          <w:i/>
          <w:color w:val="0000AE"/>
          <w:sz w:val="36"/>
        </w:rPr>
        <w:t>in vivo</w:t>
      </w:r>
      <w:r>
        <w:rPr>
          <w:color w:val="0000AE"/>
          <w:sz w:val="36"/>
        </w:rPr>
        <w:t xml:space="preserve"> and </w:t>
      </w:r>
      <w:r>
        <w:rPr>
          <w:i/>
          <w:color w:val="0000AE"/>
          <w:sz w:val="36"/>
        </w:rPr>
        <w:t>in vitro</w:t>
      </w:r>
      <w:r>
        <w:rPr>
          <w:color w:val="0000AE"/>
          <w:sz w:val="36"/>
        </w:rPr>
        <w:t xml:space="preserve"> methods</w:t>
      </w:r>
    </w:p>
    <w:p w:rsidR="00045DC6" w:rsidRDefault="00F8691C">
      <w:pPr>
        <w:spacing w:after="0" w:line="259" w:lineRule="auto"/>
        <w:ind w:right="0" w:firstLine="0"/>
        <w:jc w:val="left"/>
      </w:pPr>
      <w:r>
        <w:rPr>
          <w:sz w:val="24"/>
        </w:rPr>
        <w:t xml:space="preserve">Susan Sarhadi </w:t>
      </w:r>
      <w:r>
        <w:rPr>
          <w:sz w:val="22"/>
          <w:vertAlign w:val="superscript"/>
        </w:rPr>
        <w:t>1</w:t>
      </w:r>
      <w:r>
        <w:rPr>
          <w:sz w:val="24"/>
        </w:rPr>
        <w:t xml:space="preserve">, Mostafa Gholizadeh </w:t>
      </w:r>
      <w:r>
        <w:rPr>
          <w:sz w:val="22"/>
          <w:vertAlign w:val="superscript"/>
        </w:rPr>
        <w:t>2</w:t>
      </w:r>
      <w:r>
        <w:rPr>
          <w:sz w:val="24"/>
        </w:rPr>
        <w:t xml:space="preserve">, Tina Moghadasian </w:t>
      </w:r>
      <w:r>
        <w:rPr>
          <w:sz w:val="22"/>
          <w:vertAlign w:val="superscript"/>
        </w:rPr>
        <w:t>1</w:t>
      </w:r>
      <w:r>
        <w:rPr>
          <w:sz w:val="24"/>
        </w:rPr>
        <w:t xml:space="preserve">, Shiva Golmohammadzadeh </w:t>
      </w:r>
      <w:r>
        <w:rPr>
          <w:sz w:val="22"/>
          <w:vertAlign w:val="superscript"/>
        </w:rPr>
        <w:t>3</w:t>
      </w:r>
      <w:r>
        <w:rPr>
          <w:sz w:val="24"/>
        </w:rPr>
        <w:t>*</w:t>
      </w:r>
    </w:p>
    <w:p w:rsidR="00045DC6" w:rsidRDefault="00F8691C">
      <w:pPr>
        <w:numPr>
          <w:ilvl w:val="0"/>
          <w:numId w:val="1"/>
        </w:numPr>
        <w:spacing w:after="3" w:line="265" w:lineRule="auto"/>
        <w:ind w:right="0" w:hanging="87"/>
        <w:jc w:val="left"/>
      </w:pPr>
      <w:r>
        <w:rPr>
          <w:sz w:val="16"/>
        </w:rPr>
        <w:t>Depart</w:t>
      </w:r>
      <w:r>
        <w:rPr>
          <w:sz w:val="16"/>
        </w:rPr>
        <w:t>ment of Pharmaceutical Nanotechnology, School of Pharmacy, Mashhad University of Medical Sciences, Mashhad, Iran</w:t>
      </w:r>
    </w:p>
    <w:p w:rsidR="00045DC6" w:rsidRDefault="00F8691C">
      <w:pPr>
        <w:numPr>
          <w:ilvl w:val="0"/>
          <w:numId w:val="1"/>
        </w:numPr>
        <w:spacing w:after="3" w:line="265" w:lineRule="auto"/>
        <w:ind w:right="0" w:hanging="87"/>
        <w:jc w:val="left"/>
      </w:pPr>
      <w:r>
        <w:rPr>
          <w:sz w:val="16"/>
        </w:rPr>
        <w:t>Department of Chemistry, Faculty of Science, Ferdowsi University of Mashhad, Mashhad, Iran</w:t>
      </w:r>
    </w:p>
    <w:p w:rsidR="00045DC6" w:rsidRDefault="00F8691C">
      <w:pPr>
        <w:numPr>
          <w:ilvl w:val="0"/>
          <w:numId w:val="1"/>
        </w:numPr>
        <w:spacing w:after="3" w:line="265" w:lineRule="auto"/>
        <w:ind w:right="0" w:hanging="87"/>
        <w:jc w:val="left"/>
      </w:pPr>
      <w:r>
        <w:rPr>
          <w:sz w:val="16"/>
        </w:rPr>
        <w:t>Nanotechnology Research Center, Pharmaceutical Techn</w:t>
      </w:r>
      <w:r>
        <w:rPr>
          <w:sz w:val="16"/>
        </w:rPr>
        <w:t>ology Institute, Mashhad University of Medical Sciences, Mashhad, Iran</w:t>
      </w:r>
    </w:p>
    <w:p w:rsidR="00045DC6" w:rsidRDefault="00045DC6">
      <w:pPr>
        <w:sectPr w:rsidR="00045DC6">
          <w:headerReference w:type="even" r:id="rId11"/>
          <w:headerReference w:type="default" r:id="rId12"/>
          <w:footerReference w:type="even" r:id="rId13"/>
          <w:footerReference w:type="default" r:id="rId14"/>
          <w:headerReference w:type="first" r:id="rId15"/>
          <w:footerReference w:type="first" r:id="rId16"/>
          <w:pgSz w:w="11906" w:h="16838"/>
          <w:pgMar w:top="852" w:right="1020" w:bottom="1114" w:left="1020" w:header="720" w:footer="720" w:gutter="0"/>
          <w:pgNumType w:start="337"/>
          <w:cols w:space="720"/>
          <w:titlePg/>
        </w:sectPr>
      </w:pPr>
    </w:p>
    <w:p w:rsidR="00045DC6" w:rsidRDefault="00F8691C">
      <w:pPr>
        <w:spacing w:after="86" w:line="259" w:lineRule="auto"/>
        <w:ind w:left="-5" w:right="0" w:hanging="10"/>
        <w:jc w:val="left"/>
      </w:pPr>
      <w:r>
        <w:rPr>
          <w:b/>
          <w:sz w:val="16"/>
        </w:rPr>
        <w:lastRenderedPageBreak/>
        <w:t>A R T I C L E  I N F O</w:t>
      </w:r>
    </w:p>
    <w:p w:rsidR="00045DC6" w:rsidRDefault="00F8691C">
      <w:pPr>
        <w:spacing w:after="0" w:line="259" w:lineRule="auto"/>
        <w:ind w:left="-5" w:right="0" w:hanging="10"/>
        <w:jc w:val="left"/>
      </w:pPr>
      <w:r>
        <w:rPr>
          <w:b/>
          <w:i/>
          <w:sz w:val="16"/>
        </w:rPr>
        <w:t>Article type:</w:t>
      </w:r>
    </w:p>
    <w:p w:rsidR="00045DC6" w:rsidRDefault="00F8691C">
      <w:pPr>
        <w:spacing w:after="80" w:line="259" w:lineRule="auto"/>
        <w:ind w:left="-5" w:right="0" w:hanging="10"/>
        <w:jc w:val="left"/>
      </w:pPr>
      <w:r>
        <w:rPr>
          <w:rFonts w:ascii="Cambria Math" w:eastAsia="Cambria Math" w:hAnsi="Cambria Math" w:cs="Cambria Math"/>
          <w:sz w:val="16"/>
        </w:rPr>
        <w:t>Original article</w:t>
      </w:r>
    </w:p>
    <w:p w:rsidR="00045DC6" w:rsidRDefault="00F8691C">
      <w:pPr>
        <w:spacing w:after="0" w:line="259" w:lineRule="auto"/>
        <w:ind w:left="-5" w:right="0" w:hanging="10"/>
        <w:jc w:val="left"/>
      </w:pPr>
      <w:r>
        <w:rPr>
          <w:b/>
          <w:i/>
          <w:sz w:val="16"/>
        </w:rPr>
        <w:t>Article history:</w:t>
      </w:r>
    </w:p>
    <w:p w:rsidR="00045DC6" w:rsidRDefault="00F8691C">
      <w:pPr>
        <w:spacing w:after="0" w:line="259" w:lineRule="auto"/>
        <w:ind w:left="-5" w:right="0" w:hanging="10"/>
        <w:jc w:val="left"/>
      </w:pPr>
      <w:r>
        <w:rPr>
          <w:rFonts w:ascii="Cambria Math" w:eastAsia="Cambria Math" w:hAnsi="Cambria Math" w:cs="Cambria Math"/>
          <w:sz w:val="16"/>
        </w:rPr>
        <w:t>Received: Apr 15, 2019 Accepted: Aug 19, 2019</w:t>
      </w:r>
    </w:p>
    <w:p w:rsidR="00045DC6" w:rsidRDefault="00F8691C">
      <w:pPr>
        <w:spacing w:after="80" w:line="259" w:lineRule="auto"/>
        <w:ind w:left="-80" w:right="-426" w:firstLine="0"/>
        <w:jc w:val="left"/>
      </w:pPr>
      <w:r>
        <w:rPr>
          <w:rFonts w:ascii="Calibri" w:eastAsia="Calibri" w:hAnsi="Calibri" w:cs="Calibri"/>
          <w:noProof/>
          <w:sz w:val="22"/>
        </w:rPr>
        <mc:AlternateContent>
          <mc:Choice Requires="wpg">
            <w:drawing>
              <wp:inline distT="0" distB="0" distL="0" distR="0">
                <wp:extent cx="1339202" cy="6350"/>
                <wp:effectExtent l="0" t="0" r="0" b="0"/>
                <wp:docPr id="12917" name="Group 12917"/>
                <wp:cNvGraphicFramePr/>
                <a:graphic xmlns:a="http://schemas.openxmlformats.org/drawingml/2006/main">
                  <a:graphicData uri="http://schemas.microsoft.com/office/word/2010/wordprocessingGroup">
                    <wpg:wgp>
                      <wpg:cNvGrpSpPr/>
                      <wpg:grpSpPr>
                        <a:xfrm>
                          <a:off x="0" y="0"/>
                          <a:ext cx="1339202" cy="6350"/>
                          <a:chOff x="0" y="0"/>
                          <a:chExt cx="1339202" cy="6350"/>
                        </a:xfrm>
                      </wpg:grpSpPr>
                      <wps:wsp>
                        <wps:cNvPr id="45" name="Shape 45"/>
                        <wps:cNvSpPr/>
                        <wps:spPr>
                          <a:xfrm>
                            <a:off x="0" y="0"/>
                            <a:ext cx="1339202" cy="0"/>
                          </a:xfrm>
                          <a:custGeom>
                            <a:avLst/>
                            <a:gdLst/>
                            <a:ahLst/>
                            <a:cxnLst/>
                            <a:rect l="0" t="0" r="0" b="0"/>
                            <a:pathLst>
                              <a:path w="1339202">
                                <a:moveTo>
                                  <a:pt x="0" y="0"/>
                                </a:moveTo>
                                <a:lnTo>
                                  <a:pt x="133920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917" style="width:105.449pt;height:0.5pt;mso-position-horizontal-relative:char;mso-position-vertical-relative:line" coordsize="13392,63">
                <v:shape id="Shape 45" style="position:absolute;width:13392;height:0;left:0;top:0;" coordsize="1339202,0" path="m0,0l1339202,0">
                  <v:stroke weight="0.5pt" endcap="flat" joinstyle="miter" miterlimit="10" on="true" color="#000000"/>
                  <v:fill on="false" color="#000000" opacity="0"/>
                </v:shape>
              </v:group>
            </w:pict>
          </mc:Fallback>
        </mc:AlternateContent>
      </w:r>
    </w:p>
    <w:p w:rsidR="00045DC6" w:rsidRDefault="00F8691C">
      <w:pPr>
        <w:spacing w:after="0" w:line="259" w:lineRule="auto"/>
        <w:ind w:left="-5" w:right="0" w:hanging="10"/>
        <w:jc w:val="left"/>
      </w:pPr>
      <w:r>
        <w:rPr>
          <w:b/>
          <w:i/>
          <w:sz w:val="16"/>
        </w:rPr>
        <w:t>Keywords:</w:t>
      </w:r>
      <w:r>
        <w:rPr>
          <w:sz w:val="16"/>
        </w:rPr>
        <w:t xml:space="preserve"> </w:t>
      </w:r>
    </w:p>
    <w:p w:rsidR="00045DC6" w:rsidRDefault="00F8691C">
      <w:pPr>
        <w:spacing w:after="3" w:line="265" w:lineRule="auto"/>
        <w:ind w:left="-5" w:right="0" w:hanging="10"/>
        <w:jc w:val="left"/>
      </w:pPr>
      <w:r>
        <w:rPr>
          <w:sz w:val="16"/>
        </w:rPr>
        <w:t>Deionized water</w:t>
      </w:r>
    </w:p>
    <w:p w:rsidR="00045DC6" w:rsidRDefault="00F8691C">
      <w:pPr>
        <w:spacing w:after="3" w:line="265" w:lineRule="auto"/>
        <w:ind w:left="-5" w:right="0" w:hanging="10"/>
        <w:jc w:val="left"/>
      </w:pPr>
      <w:r>
        <w:rPr>
          <w:sz w:val="16"/>
        </w:rPr>
        <w:t>Magnetized water</w:t>
      </w:r>
    </w:p>
    <w:p w:rsidR="00045DC6" w:rsidRDefault="00F8691C">
      <w:pPr>
        <w:spacing w:after="3" w:line="265" w:lineRule="auto"/>
        <w:ind w:left="-5" w:right="0" w:hanging="10"/>
        <w:jc w:val="left"/>
      </w:pPr>
      <w:r>
        <w:rPr>
          <w:sz w:val="16"/>
        </w:rPr>
        <w:t>NLC</w:t>
      </w:r>
    </w:p>
    <w:p w:rsidR="00045DC6" w:rsidRDefault="00F8691C">
      <w:pPr>
        <w:spacing w:after="3" w:line="265" w:lineRule="auto"/>
        <w:ind w:left="-5" w:right="0" w:hanging="10"/>
        <w:jc w:val="left"/>
      </w:pPr>
      <w:r>
        <w:rPr>
          <w:sz w:val="16"/>
        </w:rPr>
        <w:t>Skin dryness</w:t>
      </w:r>
    </w:p>
    <w:p w:rsidR="00045DC6" w:rsidRDefault="00F8691C">
      <w:pPr>
        <w:spacing w:after="3" w:line="265" w:lineRule="auto"/>
        <w:ind w:left="-5" w:right="0" w:hanging="10"/>
        <w:jc w:val="left"/>
      </w:pPr>
      <w:r>
        <w:rPr>
          <w:sz w:val="16"/>
        </w:rPr>
        <w:t>SLN</w:t>
      </w:r>
    </w:p>
    <w:p w:rsidR="00045DC6" w:rsidRDefault="00F8691C">
      <w:pPr>
        <w:spacing w:after="86" w:line="259" w:lineRule="auto"/>
        <w:ind w:left="-5" w:right="0" w:hanging="10"/>
        <w:jc w:val="left"/>
      </w:pPr>
      <w:r>
        <w:rPr>
          <w:b/>
          <w:sz w:val="16"/>
        </w:rPr>
        <w:lastRenderedPageBreak/>
        <w:t>A B S T R A C T</w:t>
      </w:r>
    </w:p>
    <w:p w:rsidR="00045DC6" w:rsidRDefault="00F8691C">
      <w:pPr>
        <w:spacing w:after="31" w:line="216" w:lineRule="auto"/>
        <w:ind w:left="-5" w:right="-14" w:hanging="1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-1553692</wp:posOffset>
                </wp:positionH>
                <wp:positionV relativeFrom="paragraph">
                  <wp:posOffset>-223026</wp:posOffset>
                </wp:positionV>
                <wp:extent cx="6233395" cy="461973"/>
                <wp:effectExtent l="0" t="0" r="0" b="0"/>
                <wp:wrapNone/>
                <wp:docPr id="12916" name="Group 12916"/>
                <wp:cNvGraphicFramePr/>
                <a:graphic xmlns:a="http://schemas.openxmlformats.org/drawingml/2006/main">
                  <a:graphicData uri="http://schemas.microsoft.com/office/word/2010/wordprocessingGroup">
                    <wpg:wgp>
                      <wpg:cNvGrpSpPr/>
                      <wpg:grpSpPr>
                        <a:xfrm>
                          <a:off x="0" y="0"/>
                          <a:ext cx="6233395" cy="461973"/>
                          <a:chOff x="0" y="0"/>
                          <a:chExt cx="6233395" cy="461973"/>
                        </a:xfrm>
                      </wpg:grpSpPr>
                      <wps:wsp>
                        <wps:cNvPr id="39" name="Shape 39"/>
                        <wps:cNvSpPr/>
                        <wps:spPr>
                          <a:xfrm>
                            <a:off x="0" y="0"/>
                            <a:ext cx="1339202" cy="0"/>
                          </a:xfrm>
                          <a:custGeom>
                            <a:avLst/>
                            <a:gdLst/>
                            <a:ahLst/>
                            <a:cxnLst/>
                            <a:rect l="0" t="0" r="0" b="0"/>
                            <a:pathLst>
                              <a:path w="1339202">
                                <a:moveTo>
                                  <a:pt x="0" y="0"/>
                                </a:moveTo>
                                <a:lnTo>
                                  <a:pt x="133920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0" name="Shape 40"/>
                        <wps:cNvSpPr/>
                        <wps:spPr>
                          <a:xfrm>
                            <a:off x="1339200" y="0"/>
                            <a:ext cx="163805" cy="0"/>
                          </a:xfrm>
                          <a:custGeom>
                            <a:avLst/>
                            <a:gdLst/>
                            <a:ahLst/>
                            <a:cxnLst/>
                            <a:rect l="0" t="0" r="0" b="0"/>
                            <a:pathLst>
                              <a:path w="163805">
                                <a:moveTo>
                                  <a:pt x="0" y="0"/>
                                </a:moveTo>
                                <a:lnTo>
                                  <a:pt x="16380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1" name="Shape 41"/>
                        <wps:cNvSpPr/>
                        <wps:spPr>
                          <a:xfrm>
                            <a:off x="1503001" y="0"/>
                            <a:ext cx="4730394" cy="0"/>
                          </a:xfrm>
                          <a:custGeom>
                            <a:avLst/>
                            <a:gdLst/>
                            <a:ahLst/>
                            <a:cxnLst/>
                            <a:rect l="0" t="0" r="0" b="0"/>
                            <a:pathLst>
                              <a:path w="4730394">
                                <a:moveTo>
                                  <a:pt x="0" y="0"/>
                                </a:moveTo>
                                <a:lnTo>
                                  <a:pt x="4730394"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2" name="Shape 42"/>
                        <wps:cNvSpPr/>
                        <wps:spPr>
                          <a:xfrm>
                            <a:off x="0" y="170856"/>
                            <a:ext cx="1339202" cy="0"/>
                          </a:xfrm>
                          <a:custGeom>
                            <a:avLst/>
                            <a:gdLst/>
                            <a:ahLst/>
                            <a:cxnLst/>
                            <a:rect l="0" t="0" r="0" b="0"/>
                            <a:pathLst>
                              <a:path w="1339202">
                                <a:moveTo>
                                  <a:pt x="0" y="0"/>
                                </a:moveTo>
                                <a:lnTo>
                                  <a:pt x="133920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3" name="Shape 43"/>
                        <wps:cNvSpPr/>
                        <wps:spPr>
                          <a:xfrm>
                            <a:off x="0" y="461973"/>
                            <a:ext cx="1339202" cy="0"/>
                          </a:xfrm>
                          <a:custGeom>
                            <a:avLst/>
                            <a:gdLst/>
                            <a:ahLst/>
                            <a:cxnLst/>
                            <a:rect l="0" t="0" r="0" b="0"/>
                            <a:pathLst>
                              <a:path w="1339202">
                                <a:moveTo>
                                  <a:pt x="0" y="0"/>
                                </a:moveTo>
                                <a:lnTo>
                                  <a:pt x="133920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4" name="Shape 44"/>
                        <wps:cNvSpPr/>
                        <wps:spPr>
                          <a:xfrm>
                            <a:off x="1503001" y="170856"/>
                            <a:ext cx="4730394" cy="0"/>
                          </a:xfrm>
                          <a:custGeom>
                            <a:avLst/>
                            <a:gdLst/>
                            <a:ahLst/>
                            <a:cxnLst/>
                            <a:rect l="0" t="0" r="0" b="0"/>
                            <a:pathLst>
                              <a:path w="4730394">
                                <a:moveTo>
                                  <a:pt x="0" y="0"/>
                                </a:moveTo>
                                <a:lnTo>
                                  <a:pt x="4730394"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916" style="width:490.819pt;height:36.3759pt;position:absolute;z-index:-2147483614;mso-position-horizontal-relative:text;mso-position-horizontal:absolute;margin-left:-122.338pt;mso-position-vertical-relative:text;margin-top:-17.5612pt;" coordsize="62333,4619">
                <v:shape id="Shape 39" style="position:absolute;width:13392;height:0;left:0;top:0;" coordsize="1339202,0" path="m0,0l1339202,0">
                  <v:stroke weight="0.5pt" endcap="flat" joinstyle="miter" miterlimit="10" on="true" color="#000000"/>
                  <v:fill on="false" color="#000000" opacity="0"/>
                </v:shape>
                <v:shape id="Shape 40" style="position:absolute;width:1638;height:0;left:13392;top:0;" coordsize="163805,0" path="m0,0l163805,0">
                  <v:stroke weight="0.5pt" endcap="flat" joinstyle="miter" miterlimit="10" on="true" color="#000000"/>
                  <v:fill on="false" color="#000000" opacity="0"/>
                </v:shape>
                <v:shape id="Shape 41" style="position:absolute;width:47303;height:0;left:15030;top:0;" coordsize="4730394,0" path="m0,0l4730394,0">
                  <v:stroke weight="0.5pt" endcap="flat" joinstyle="miter" miterlimit="10" on="true" color="#000000"/>
                  <v:fill on="false" color="#000000" opacity="0"/>
                </v:shape>
                <v:shape id="Shape 42" style="position:absolute;width:13392;height:0;left:0;top:1708;" coordsize="1339202,0" path="m0,0l1339202,0">
                  <v:stroke weight="0.5pt" endcap="flat" joinstyle="miter" miterlimit="10" on="true" color="#000000"/>
                  <v:fill on="false" color="#000000" opacity="0"/>
                </v:shape>
                <v:shape id="Shape 43" style="position:absolute;width:13392;height:0;left:0;top:4619;" coordsize="1339202,0" path="m0,0l1339202,0">
                  <v:stroke weight="0.5pt" endcap="flat" joinstyle="miter" miterlimit="10" on="true" color="#000000"/>
                  <v:fill on="false" color="#000000" opacity="0"/>
                </v:shape>
                <v:shape id="Shape 44" style="position:absolute;width:47303;height:0;left:15030;top:1708;" coordsize="4730394,0" path="m0,0l4730394,0">
                  <v:stroke weight="0.5pt" endcap="flat" joinstyle="miter" miterlimit="10" on="true" color="#000000"/>
                  <v:fill on="false" color="#000000" opacity="0"/>
                </v:shape>
              </v:group>
            </w:pict>
          </mc:Fallback>
        </mc:AlternateContent>
      </w:r>
      <w:r>
        <w:rPr>
          <w:rFonts w:ascii="Times New Roman" w:eastAsia="Times New Roman" w:hAnsi="Times New Roman" w:cs="Times New Roman"/>
          <w:b/>
          <w:i/>
          <w:sz w:val="17"/>
        </w:rPr>
        <w:t>Objective(s):</w:t>
      </w:r>
      <w:r>
        <w:rPr>
          <w:rFonts w:ascii="Times New Roman" w:eastAsia="Times New Roman" w:hAnsi="Times New Roman" w:cs="Times New Roman"/>
          <w:sz w:val="17"/>
        </w:rPr>
        <w:t xml:space="preserve"> </w:t>
      </w:r>
      <w:r>
        <w:rPr>
          <w:sz w:val="17"/>
        </w:rPr>
        <w:t>The present study aimed to determine and compare moisturizing and occlusion effects of different solid lipid nanoparticles (SLN) and nanostructured lipid carriers (NLC) using magnetized water and deionized water.</w:t>
      </w:r>
    </w:p>
    <w:p w:rsidR="00045DC6" w:rsidRDefault="00F8691C">
      <w:pPr>
        <w:spacing w:after="31" w:line="216" w:lineRule="auto"/>
        <w:ind w:left="-5" w:right="-14" w:hanging="10"/>
      </w:pPr>
      <w:r>
        <w:rPr>
          <w:rFonts w:ascii="Times New Roman" w:eastAsia="Times New Roman" w:hAnsi="Times New Roman" w:cs="Times New Roman"/>
          <w:b/>
          <w:i/>
          <w:sz w:val="17"/>
        </w:rPr>
        <w:t>Materials and Methods:</w:t>
      </w:r>
      <w:r>
        <w:rPr>
          <w:rFonts w:ascii="Times New Roman" w:eastAsia="Times New Roman" w:hAnsi="Times New Roman" w:cs="Times New Roman"/>
          <w:sz w:val="17"/>
        </w:rPr>
        <w:t xml:space="preserve"> </w:t>
      </w:r>
      <w:r>
        <w:rPr>
          <w:sz w:val="17"/>
        </w:rPr>
        <w:t>SLN formulations wer</w:t>
      </w:r>
      <w:r>
        <w:rPr>
          <w:sz w:val="17"/>
        </w:rPr>
        <w:t xml:space="preserve">e prepared using various lipids, including Tripalmitin, </w:t>
      </w:r>
      <w:r>
        <w:rPr>
          <w:sz w:val="17"/>
        </w:rPr>
        <w:t xml:space="preserve">Compritol®, Precirol®, and emulsifiers including Poloxamer and Tween 80. NLC formulations were also prepared with oleic acid and the same solid lipids. Two types of formulations were prepared; first </w:t>
      </w:r>
      <w:r>
        <w:rPr>
          <w:sz w:val="17"/>
        </w:rPr>
        <w:t>w</w:t>
      </w:r>
      <w:r>
        <w:rPr>
          <w:sz w:val="17"/>
        </w:rPr>
        <w:t>ith deionized water and then with magnetized water. Formulations were prepared using high shear homogenization and ultrasound methods. The products were analyzed by PSA (particle size analyzer), DSC (differential scanning calorimetry), and TEM (transmissio</w:t>
      </w:r>
      <w:r>
        <w:rPr>
          <w:sz w:val="17"/>
        </w:rPr>
        <w:t xml:space="preserve">n electron microscopy). The moisturizing effect of formulations was determined by </w:t>
      </w:r>
      <w:r>
        <w:rPr>
          <w:i/>
          <w:sz w:val="17"/>
        </w:rPr>
        <w:t>in vivo</w:t>
      </w:r>
      <w:r>
        <w:rPr>
          <w:sz w:val="17"/>
        </w:rPr>
        <w:t xml:space="preserve"> and </w:t>
      </w:r>
      <w:r>
        <w:rPr>
          <w:i/>
          <w:sz w:val="17"/>
        </w:rPr>
        <w:t>in vitro</w:t>
      </w:r>
      <w:r>
        <w:rPr>
          <w:sz w:val="17"/>
        </w:rPr>
        <w:t xml:space="preserve"> methods. </w:t>
      </w:r>
    </w:p>
    <w:p w:rsidR="00045DC6" w:rsidRDefault="00F8691C">
      <w:pPr>
        <w:spacing w:after="31" w:line="216" w:lineRule="auto"/>
        <w:ind w:left="-5" w:right="-14" w:hanging="10"/>
      </w:pPr>
      <w:r>
        <w:rPr>
          <w:rFonts w:ascii="Times New Roman" w:eastAsia="Times New Roman" w:hAnsi="Times New Roman" w:cs="Times New Roman"/>
          <w:b/>
          <w:i/>
          <w:sz w:val="17"/>
        </w:rPr>
        <w:t>Results:</w:t>
      </w:r>
      <w:r>
        <w:rPr>
          <w:sz w:val="17"/>
        </w:rPr>
        <w:t xml:space="preserve"> Findings of the assessments demonstrated that in products prepared with magnetized water, 5% SLN Precirol® had the most moisturizing e</w:t>
      </w:r>
      <w:r>
        <w:rPr>
          <w:sz w:val="17"/>
        </w:rPr>
        <w:t>ffect</w:t>
      </w:r>
      <w:r>
        <w:rPr>
          <w:i/>
          <w:sz w:val="17"/>
        </w:rPr>
        <w:t xml:space="preserve"> in vivo</w:t>
      </w:r>
      <w:r>
        <w:rPr>
          <w:sz w:val="17"/>
        </w:rPr>
        <w:t xml:space="preserve"> and 5% SLN Compritol® had the most moisturizing effect </w:t>
      </w:r>
      <w:r>
        <w:rPr>
          <w:i/>
          <w:sz w:val="17"/>
        </w:rPr>
        <w:t>in vitro</w:t>
      </w:r>
      <w:r>
        <w:rPr>
          <w:sz w:val="17"/>
        </w:rPr>
        <w:t>. The use of magnetized water in formulations can improve the effectiveness and increase the stability of moisturizing products.</w:t>
      </w:r>
    </w:p>
    <w:tbl>
      <w:tblPr>
        <w:tblStyle w:val="TableGrid"/>
        <w:tblpPr w:vertAnchor="text" w:horzAnchor="margin" w:tblpY="470"/>
        <w:tblOverlap w:val="never"/>
        <w:tblW w:w="9910" w:type="dxa"/>
        <w:tblInd w:w="0" w:type="dxa"/>
        <w:tblCellMar>
          <w:top w:w="0" w:type="dxa"/>
          <w:left w:w="0" w:type="dxa"/>
          <w:bottom w:w="0" w:type="dxa"/>
          <w:right w:w="93" w:type="dxa"/>
        </w:tblCellMar>
        <w:tblLook w:val="04A0" w:firstRow="1" w:lastRow="0" w:firstColumn="1" w:lastColumn="0" w:noHBand="0" w:noVBand="1"/>
      </w:tblPr>
      <w:tblGrid>
        <w:gridCol w:w="9910"/>
      </w:tblGrid>
      <w:tr w:rsidR="00045DC6">
        <w:trPr>
          <w:trHeight w:val="536"/>
        </w:trPr>
        <w:tc>
          <w:tcPr>
            <w:tcW w:w="9691" w:type="dxa"/>
            <w:tcBorders>
              <w:top w:val="nil"/>
              <w:left w:val="nil"/>
              <w:bottom w:val="nil"/>
              <w:right w:val="nil"/>
            </w:tcBorders>
          </w:tcPr>
          <w:p w:rsidR="00045DC6" w:rsidRDefault="00F8691C">
            <w:pPr>
              <w:spacing w:after="92" w:line="259" w:lineRule="auto"/>
              <w:ind w:right="0" w:firstLine="0"/>
              <w:jc w:val="left"/>
            </w:pPr>
            <w:r>
              <w:rPr>
                <w:rFonts w:ascii="Calibri" w:eastAsia="Calibri" w:hAnsi="Calibri" w:cs="Calibri"/>
                <w:noProof/>
                <w:sz w:val="22"/>
              </w:rPr>
              <mc:AlternateContent>
                <mc:Choice Requires="wpg">
                  <w:drawing>
                    <wp:inline distT="0" distB="0" distL="0" distR="0">
                      <wp:extent cx="6233395" cy="6337"/>
                      <wp:effectExtent l="0" t="0" r="0" b="0"/>
                      <wp:docPr id="12919" name="Group 12919"/>
                      <wp:cNvGraphicFramePr/>
                      <a:graphic xmlns:a="http://schemas.openxmlformats.org/drawingml/2006/main">
                        <a:graphicData uri="http://schemas.microsoft.com/office/word/2010/wordprocessingGroup">
                          <wpg:wgp>
                            <wpg:cNvGrpSpPr/>
                            <wpg:grpSpPr>
                              <a:xfrm>
                                <a:off x="0" y="0"/>
                                <a:ext cx="6233395" cy="6337"/>
                                <a:chOff x="0" y="0"/>
                                <a:chExt cx="6233395" cy="6337"/>
                              </a:xfrm>
                            </wpg:grpSpPr>
                            <wps:wsp>
                              <wps:cNvPr id="49" name="Shape 49"/>
                              <wps:cNvSpPr/>
                              <wps:spPr>
                                <a:xfrm>
                                  <a:off x="0" y="0"/>
                                  <a:ext cx="1339202" cy="0"/>
                                </a:xfrm>
                                <a:custGeom>
                                  <a:avLst/>
                                  <a:gdLst/>
                                  <a:ahLst/>
                                  <a:cxnLst/>
                                  <a:rect l="0" t="0" r="0" b="0"/>
                                  <a:pathLst>
                                    <a:path w="1339202">
                                      <a:moveTo>
                                        <a:pt x="0" y="0"/>
                                      </a:moveTo>
                                      <a:lnTo>
                                        <a:pt x="1339202" y="0"/>
                                      </a:lnTo>
                                    </a:path>
                                  </a:pathLst>
                                </a:custGeom>
                                <a:ln w="6337" cap="flat">
                                  <a:miter lim="127000"/>
                                </a:ln>
                              </wps:spPr>
                              <wps:style>
                                <a:lnRef idx="1">
                                  <a:srgbClr val="000000"/>
                                </a:lnRef>
                                <a:fillRef idx="0">
                                  <a:srgbClr val="000000">
                                    <a:alpha val="0"/>
                                  </a:srgbClr>
                                </a:fillRef>
                                <a:effectRef idx="0">
                                  <a:scrgbClr r="0" g="0" b="0"/>
                                </a:effectRef>
                                <a:fontRef idx="none"/>
                              </wps:style>
                              <wps:bodyPr/>
                            </wps:wsp>
                            <wps:wsp>
                              <wps:cNvPr id="50" name="Shape 50"/>
                              <wps:cNvSpPr/>
                              <wps:spPr>
                                <a:xfrm>
                                  <a:off x="1503001" y="0"/>
                                  <a:ext cx="4730394" cy="0"/>
                                </a:xfrm>
                                <a:custGeom>
                                  <a:avLst/>
                                  <a:gdLst/>
                                  <a:ahLst/>
                                  <a:cxnLst/>
                                  <a:rect l="0" t="0" r="0" b="0"/>
                                  <a:pathLst>
                                    <a:path w="4730394">
                                      <a:moveTo>
                                        <a:pt x="0" y="0"/>
                                      </a:moveTo>
                                      <a:lnTo>
                                        <a:pt x="4730394" y="0"/>
                                      </a:lnTo>
                                    </a:path>
                                  </a:pathLst>
                                </a:custGeom>
                                <a:ln w="633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919" style="width:490.819pt;height:0.499pt;mso-position-horizontal-relative:char;mso-position-vertical-relative:line" coordsize="62333,63">
                      <v:shape id="Shape 49" style="position:absolute;width:13392;height:0;left:0;top:0;" coordsize="1339202,0" path="m0,0l1339202,0">
                        <v:stroke weight="0.499pt" endcap="flat" joinstyle="miter" miterlimit="10" on="true" color="#000000"/>
                        <v:fill on="false" color="#000000" opacity="0"/>
                      </v:shape>
                      <v:shape id="Shape 50" style="position:absolute;width:47303;height:0;left:15030;top:0;" coordsize="4730394,0" path="m0,0l4730394,0">
                        <v:stroke weight="0.499pt" endcap="flat" joinstyle="miter" miterlimit="10" on="true" color="#000000"/>
                        <v:fill on="false" color="#000000" opacity="0"/>
                      </v:shape>
                    </v:group>
                  </w:pict>
                </mc:Fallback>
              </mc:AlternateContent>
            </w:r>
          </w:p>
          <w:p w:rsidR="00045DC6" w:rsidRDefault="00F8691C">
            <w:pPr>
              <w:spacing w:after="0" w:line="259" w:lineRule="auto"/>
              <w:ind w:left="80" w:right="0" w:firstLine="0"/>
              <w:jc w:val="left"/>
            </w:pPr>
            <w:r>
              <w:rPr>
                <w:rFonts w:ascii="Times New Roman" w:eastAsia="Times New Roman" w:hAnsi="Times New Roman" w:cs="Times New Roman"/>
                <w:i/>
                <w:sz w:val="22"/>
              </w:rPr>
              <w:t>►</w:t>
            </w:r>
            <w:r>
              <w:rPr>
                <w:i/>
                <w:sz w:val="18"/>
              </w:rPr>
              <w:t>Please cite this article as:</w:t>
            </w:r>
            <w:r>
              <w:rPr>
                <w:b/>
                <w:i/>
                <w:sz w:val="18"/>
              </w:rPr>
              <w:t xml:space="preserve"> </w:t>
            </w:r>
            <w:r>
              <w:rPr>
                <w:b/>
                <w:i/>
                <w:sz w:val="16"/>
              </w:rPr>
              <w:t xml:space="preserve"> </w:t>
            </w:r>
          </w:p>
          <w:p w:rsidR="00045DC6" w:rsidRDefault="00F8691C">
            <w:pPr>
              <w:spacing w:after="0" w:line="259" w:lineRule="auto"/>
              <w:ind w:left="80" w:right="0" w:firstLine="0"/>
            </w:pPr>
            <w:r>
              <w:rPr>
                <w:rFonts w:ascii="Cambria Math" w:eastAsia="Cambria Math" w:hAnsi="Cambria Math" w:cs="Cambria Math"/>
                <w:sz w:val="16"/>
              </w:rPr>
              <w:t>Sarhadi S, Gholizadeh M, Moghadasian T, Golmohammadzadeh Sh. Moisturizing effects of solid lipid nanoparticles (SLN) and nanostructured lipid carriers (NLC) using deionized and magnetized water by</w:t>
            </w:r>
            <w:r>
              <w:rPr>
                <w:rFonts w:ascii="Times New Roman" w:eastAsia="Times New Roman" w:hAnsi="Times New Roman" w:cs="Times New Roman"/>
                <w:i/>
                <w:sz w:val="16"/>
              </w:rPr>
              <w:t xml:space="preserve"> in vivo</w:t>
            </w:r>
            <w:r>
              <w:rPr>
                <w:rFonts w:ascii="Cambria Math" w:eastAsia="Cambria Math" w:hAnsi="Cambria Math" w:cs="Cambria Math"/>
                <w:sz w:val="16"/>
              </w:rPr>
              <w:t xml:space="preserve"> and </w:t>
            </w:r>
            <w:r>
              <w:rPr>
                <w:rFonts w:ascii="Times New Roman" w:eastAsia="Times New Roman" w:hAnsi="Times New Roman" w:cs="Times New Roman"/>
                <w:i/>
                <w:sz w:val="16"/>
              </w:rPr>
              <w:t>in vitro</w:t>
            </w:r>
            <w:r>
              <w:rPr>
                <w:rFonts w:ascii="Cambria Math" w:eastAsia="Cambria Math" w:hAnsi="Cambria Math" w:cs="Cambria Math"/>
                <w:sz w:val="16"/>
              </w:rPr>
              <w:t xml:space="preserve"> methods. Iran J Basic Med Sci 2020; 23</w:t>
            </w:r>
            <w:r>
              <w:rPr>
                <w:rFonts w:ascii="Cambria Math" w:eastAsia="Cambria Math" w:hAnsi="Cambria Math" w:cs="Cambria Math"/>
                <w:sz w:val="16"/>
              </w:rPr>
              <w:t>:337-343. doi: 10.22038/</w:t>
            </w:r>
          </w:p>
        </w:tc>
      </w:tr>
    </w:tbl>
    <w:p w:rsidR="00045DC6" w:rsidRDefault="00F8691C">
      <w:pPr>
        <w:spacing w:after="31" w:line="216" w:lineRule="auto"/>
        <w:ind w:left="-5" w:right="-14" w:hanging="10"/>
      </w:pPr>
      <w:r>
        <w:rPr>
          <w:rFonts w:ascii="Times New Roman" w:eastAsia="Times New Roman" w:hAnsi="Times New Roman" w:cs="Times New Roman"/>
          <w:b/>
          <w:i/>
          <w:sz w:val="17"/>
        </w:rPr>
        <w:t>Conclusion:</w:t>
      </w:r>
      <w:r>
        <w:rPr>
          <w:sz w:val="17"/>
        </w:rPr>
        <w:t xml:space="preserve"> In this study, all products prepared with magnetized water showed more stability, smaller size, and more moisturizing effects compared with products prepared with deionized water.</w:t>
      </w:r>
    </w:p>
    <w:p w:rsidR="00045DC6" w:rsidRDefault="00045DC6">
      <w:pPr>
        <w:sectPr w:rsidR="00045DC6">
          <w:type w:val="continuous"/>
          <w:pgSz w:w="11906" w:h="16838"/>
          <w:pgMar w:top="1440" w:right="1148" w:bottom="1440" w:left="1100" w:header="720" w:footer="720" w:gutter="0"/>
          <w:cols w:num="2" w:space="720" w:equalWidth="0">
            <w:col w:w="1597" w:space="760"/>
            <w:col w:w="7300"/>
          </w:cols>
        </w:sectPr>
      </w:pPr>
    </w:p>
    <w:p w:rsidR="00045DC6" w:rsidRDefault="00F8691C">
      <w:pPr>
        <w:spacing w:after="45" w:line="259" w:lineRule="auto"/>
        <w:ind w:left="90" w:right="0" w:hanging="1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margin">
                  <wp:posOffset>18</wp:posOffset>
                </wp:positionH>
                <wp:positionV relativeFrom="paragraph">
                  <wp:posOffset>129979</wp:posOffset>
                </wp:positionV>
                <wp:extent cx="6233395" cy="6350"/>
                <wp:effectExtent l="0" t="0" r="0" b="0"/>
                <wp:wrapTopAndBottom/>
                <wp:docPr id="12918" name="Group 12918"/>
                <wp:cNvGraphicFramePr/>
                <a:graphic xmlns:a="http://schemas.openxmlformats.org/drawingml/2006/main">
                  <a:graphicData uri="http://schemas.microsoft.com/office/word/2010/wordprocessingGroup">
                    <wpg:wgp>
                      <wpg:cNvGrpSpPr/>
                      <wpg:grpSpPr>
                        <a:xfrm>
                          <a:off x="0" y="0"/>
                          <a:ext cx="6233395" cy="6350"/>
                          <a:chOff x="0" y="0"/>
                          <a:chExt cx="6233395" cy="6350"/>
                        </a:xfrm>
                      </wpg:grpSpPr>
                      <wps:wsp>
                        <wps:cNvPr id="46" name="Shape 46"/>
                        <wps:cNvSpPr/>
                        <wps:spPr>
                          <a:xfrm>
                            <a:off x="0" y="0"/>
                            <a:ext cx="1339202" cy="0"/>
                          </a:xfrm>
                          <a:custGeom>
                            <a:avLst/>
                            <a:gdLst/>
                            <a:ahLst/>
                            <a:cxnLst/>
                            <a:rect l="0" t="0" r="0" b="0"/>
                            <a:pathLst>
                              <a:path w="1339202">
                                <a:moveTo>
                                  <a:pt x="0" y="0"/>
                                </a:moveTo>
                                <a:lnTo>
                                  <a:pt x="1339202"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7" name="Shape 47"/>
                        <wps:cNvSpPr/>
                        <wps:spPr>
                          <a:xfrm>
                            <a:off x="1339200" y="0"/>
                            <a:ext cx="163805" cy="0"/>
                          </a:xfrm>
                          <a:custGeom>
                            <a:avLst/>
                            <a:gdLst/>
                            <a:ahLst/>
                            <a:cxnLst/>
                            <a:rect l="0" t="0" r="0" b="0"/>
                            <a:pathLst>
                              <a:path w="163805">
                                <a:moveTo>
                                  <a:pt x="0" y="0"/>
                                </a:moveTo>
                                <a:lnTo>
                                  <a:pt x="16380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8" name="Shape 48"/>
                        <wps:cNvSpPr/>
                        <wps:spPr>
                          <a:xfrm>
                            <a:off x="1503001" y="0"/>
                            <a:ext cx="4730394" cy="0"/>
                          </a:xfrm>
                          <a:custGeom>
                            <a:avLst/>
                            <a:gdLst/>
                            <a:ahLst/>
                            <a:cxnLst/>
                            <a:rect l="0" t="0" r="0" b="0"/>
                            <a:pathLst>
                              <a:path w="4730394">
                                <a:moveTo>
                                  <a:pt x="0" y="0"/>
                                </a:moveTo>
                                <a:lnTo>
                                  <a:pt x="4730394"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918" style="width:490.819pt;height:0.5pt;position:absolute;mso-position-horizontal-relative:margin;mso-position-horizontal:absolute;margin-left:0.00139999pt;mso-position-vertical-relative:text;margin-top:10.2345pt;" coordsize="62333,63">
                <v:shape id="Shape 46" style="position:absolute;width:13392;height:0;left:0;top:0;" coordsize="1339202,0" path="m0,0l1339202,0">
                  <v:stroke weight="0.5pt" endcap="flat" joinstyle="miter" miterlimit="10" on="true" color="#000000"/>
                  <v:fill on="false" color="#000000" opacity="0"/>
                </v:shape>
                <v:shape id="Shape 47" style="position:absolute;width:1638;height:0;left:13392;top:0;" coordsize="163805,0" path="m0,0l163805,0">
                  <v:stroke weight="0.5pt" endcap="flat" joinstyle="miter" miterlimit="10" on="true" color="#000000"/>
                  <v:fill on="false" color="#000000" opacity="0"/>
                </v:shape>
                <v:shape id="Shape 48" style="position:absolute;width:47303;height:0;left:15030;top:0;" coordsize="4730394,0" path="m0,0l4730394,0">
                  <v:stroke weight="0.5pt" endcap="flat" joinstyle="miter" miterlimit="10" on="true" color="#000000"/>
                  <v:fill on="false" color="#000000" opacity="0"/>
                </v:shape>
                <w10:wrap type="topAndBottom"/>
              </v:group>
            </w:pict>
          </mc:Fallback>
        </mc:AlternateContent>
      </w:r>
      <w:r>
        <w:rPr>
          <w:rFonts w:ascii="Cambria Math" w:eastAsia="Cambria Math" w:hAnsi="Cambria Math" w:cs="Cambria Math"/>
          <w:sz w:val="16"/>
        </w:rPr>
        <w:t>IJBMS.2020.39587.9397</w:t>
      </w:r>
    </w:p>
    <w:p w:rsidR="00045DC6" w:rsidRDefault="00F8691C">
      <w:pPr>
        <w:pStyle w:val="Heading1"/>
        <w:ind w:left="-5"/>
      </w:pPr>
      <w:r>
        <w:t>Introduction</w:t>
      </w:r>
    </w:p>
    <w:p w:rsidR="00045DC6" w:rsidRDefault="00F8691C">
      <w:pPr>
        <w:ind w:left="-15" w:right="30"/>
      </w:pPr>
      <w:r>
        <w:t xml:space="preserve">Skin is a complex organ due to its various functions such </w:t>
      </w:r>
      <w:r>
        <w:t xml:space="preserve">as physical and chemical protection, vitamin D synthesis, </w:t>
      </w:r>
      <w:r>
        <w:t xml:space="preserve">gas exchange, protection against pathogens, as well as </w:t>
      </w:r>
      <w:r>
        <w:t>temperature regulation. It is also considered as a</w:t>
      </w:r>
      <w:r>
        <w:t xml:space="preserve"> barrier to moisture loss from the body surface. Dry skin reduces the skin’s ability to perform its tasks. The function of a moisturizer is to restore or retain the moisture of the horny layer of the skin (1, 2).</w:t>
      </w:r>
    </w:p>
    <w:p w:rsidR="00045DC6" w:rsidRDefault="00F8691C">
      <w:pPr>
        <w:ind w:left="-15" w:right="30"/>
      </w:pPr>
      <w:r>
        <w:t>In recent decades, solid lipid nanoparticle</w:t>
      </w:r>
      <w:r>
        <w:t xml:space="preserve">s (SLN), made of biodegradable and biocompatible lipids, are locally used for a variety of reasons (3), some of which are as follows:  </w:t>
      </w:r>
    </w:p>
    <w:p w:rsidR="00045DC6" w:rsidRDefault="00F8691C">
      <w:pPr>
        <w:numPr>
          <w:ilvl w:val="0"/>
          <w:numId w:val="2"/>
        </w:numPr>
        <w:ind w:right="30" w:firstLine="0"/>
      </w:pPr>
      <w:r>
        <w:t>Protecting unstable compounds from chemical degradation (3, 4)</w:t>
      </w:r>
    </w:p>
    <w:p w:rsidR="00045DC6" w:rsidRDefault="00F8691C">
      <w:pPr>
        <w:numPr>
          <w:ilvl w:val="0"/>
          <w:numId w:val="2"/>
        </w:numPr>
        <w:spacing w:after="33"/>
        <w:ind w:right="30" w:firstLine="0"/>
      </w:pPr>
      <w:r>
        <w:t>Possibility of providing controlled release drugs (5, 6)</w:t>
      </w:r>
    </w:p>
    <w:p w:rsidR="00045DC6" w:rsidRDefault="00F8691C">
      <w:pPr>
        <w:numPr>
          <w:ilvl w:val="0"/>
          <w:numId w:val="2"/>
        </w:numPr>
        <w:ind w:right="30" w:firstLine="0"/>
      </w:pPr>
      <w:r>
        <w:t>Moisturizing property due to their occlusive effect (2, 7) 4) The possibility of increasing penetration and skin accumulation due to their occlusive properties (8)</w:t>
      </w:r>
    </w:p>
    <w:p w:rsidR="00045DC6" w:rsidRDefault="00F8691C">
      <w:pPr>
        <w:spacing w:after="33"/>
        <w:ind w:left="-15" w:right="30" w:firstLine="0"/>
      </w:pPr>
      <w:r>
        <w:t>5) Physical sunscreen due to UV-blocking (9)</w:t>
      </w:r>
    </w:p>
    <w:p w:rsidR="00045DC6" w:rsidRDefault="00F8691C">
      <w:pPr>
        <w:ind w:left="-15" w:right="30"/>
      </w:pPr>
      <w:r>
        <w:t>Nanostructured lipid carriers (NLC) are a new generation of colloidal drug carriers for topical application. The goal of these carriers is to overcome the SLN problems. One of the differences between SLN and NLC is that SLN is composed only of solid lipids</w:t>
      </w:r>
      <w:r>
        <w:t xml:space="preserve">, while NLC is composed of a </w:t>
      </w:r>
      <w:r>
        <w:t xml:space="preserve">mixture of solid lipids and liquid lipids in a ratio of 70:30 </w:t>
      </w:r>
    </w:p>
    <w:p w:rsidR="00045DC6" w:rsidRDefault="00F8691C">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3006001" cy="3594"/>
                <wp:effectExtent l="0" t="0" r="0" b="0"/>
                <wp:docPr id="12914" name="Group 12914"/>
                <wp:cNvGraphicFramePr/>
                <a:graphic xmlns:a="http://schemas.openxmlformats.org/drawingml/2006/main">
                  <a:graphicData uri="http://schemas.microsoft.com/office/word/2010/wordprocessingGroup">
                    <wpg:wgp>
                      <wpg:cNvGrpSpPr/>
                      <wpg:grpSpPr>
                        <a:xfrm>
                          <a:off x="0" y="0"/>
                          <a:ext cx="3006001" cy="3594"/>
                          <a:chOff x="0" y="0"/>
                          <a:chExt cx="3006001" cy="3594"/>
                        </a:xfrm>
                      </wpg:grpSpPr>
                      <wps:wsp>
                        <wps:cNvPr id="12" name="Shape 12"/>
                        <wps:cNvSpPr/>
                        <wps:spPr>
                          <a:xfrm>
                            <a:off x="0" y="0"/>
                            <a:ext cx="3006001" cy="0"/>
                          </a:xfrm>
                          <a:custGeom>
                            <a:avLst/>
                            <a:gdLst/>
                            <a:ahLst/>
                            <a:cxnLst/>
                            <a:rect l="0" t="0" r="0" b="0"/>
                            <a:pathLst>
                              <a:path w="3006001">
                                <a:moveTo>
                                  <a:pt x="0" y="0"/>
                                </a:moveTo>
                                <a:lnTo>
                                  <a:pt x="3006001" y="0"/>
                                </a:lnTo>
                              </a:path>
                            </a:pathLst>
                          </a:custGeom>
                          <a:ln w="3594"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914" style="width:236.693pt;height:0.283pt;mso-position-horizontal-relative:char;mso-position-vertical-relative:line" coordsize="30060,35">
                <v:shape id="Shape 12" style="position:absolute;width:30060;height:0;left:0;top:0;" coordsize="3006001,0" path="m0,0l3006001,0">
                  <v:stroke weight="0.283pt" endcap="flat" joinstyle="miter" miterlimit="4" on="true" color="#000000"/>
                  <v:fill on="false" color="#000000" opacity="0"/>
                </v:shape>
              </v:group>
            </w:pict>
          </mc:Fallback>
        </mc:AlternateContent>
      </w:r>
    </w:p>
    <w:p w:rsidR="00045DC6" w:rsidRDefault="00F8691C">
      <w:pPr>
        <w:spacing w:after="30" w:line="224" w:lineRule="auto"/>
        <w:ind w:left="-15" w:right="30" w:firstLine="0"/>
      </w:pPr>
      <w:r>
        <w:t>up to a ratio of 99.9:0.1 (10).</w:t>
      </w:r>
    </w:p>
    <w:p w:rsidR="00045DC6" w:rsidRDefault="00F8691C">
      <w:pPr>
        <w:ind w:left="-15" w:right="30"/>
      </w:pPr>
      <w:r>
        <w:t xml:space="preserve">The most important benefits of NLC include higher </w:t>
      </w:r>
      <w:r>
        <w:t>carrying capacity for some materials and less waste material during storage comp</w:t>
      </w:r>
      <w:r>
        <w:t>ared to SLN (11). SLN and NLC are among the novel skin drug delivery systems.</w:t>
      </w:r>
    </w:p>
    <w:p w:rsidR="00045DC6" w:rsidRDefault="00F8691C">
      <w:pPr>
        <w:spacing w:after="3" w:line="224" w:lineRule="auto"/>
        <w:ind w:left="-15" w:right="30"/>
      </w:pPr>
      <w:r>
        <w:t xml:space="preserve">Various studies have shown that the occlusion factor </w:t>
      </w:r>
      <w:r>
        <w:t xml:space="preserve">of lipid microparticles is only 10%, while with a size of approximately 200 nm, the lipid nanoparticles increase this factor </w:t>
      </w:r>
      <w:r>
        <w:t>to 50% (12).</w:t>
      </w:r>
    </w:p>
    <w:p w:rsidR="00045DC6" w:rsidRDefault="00F8691C">
      <w:pPr>
        <w:ind w:left="-15" w:right="30"/>
      </w:pPr>
      <w:r>
        <w:t xml:space="preserve">Studies show that when water is affected by the static </w:t>
      </w:r>
      <w:r>
        <w:t xml:space="preserve">magnetic field, some of its properties change, including </w:t>
      </w:r>
      <w:r>
        <w:t xml:space="preserve">reduced surface tension, increased viscosity, increased pH, and increased electrical conductivity and hydrogen </w:t>
      </w:r>
      <w:r>
        <w:t>bond (Table 1) (13).</w:t>
      </w:r>
      <w:r>
        <w:t xml:space="preserve"> Moreover, the magnetic field can significantly affect the zeta potential and the dispersion of </w:t>
      </w:r>
      <w:r>
        <w:t xml:space="preserve">the particle size of solutions (14, 15). </w:t>
      </w:r>
    </w:p>
    <w:p w:rsidR="00045DC6" w:rsidRDefault="00F8691C">
      <w:pPr>
        <w:ind w:left="-15" w:right="30"/>
      </w:pPr>
      <w:r>
        <w:t>The present study aimed to determine and compare the moisturizing and occlusion effects of different SLN and NLC using</w:t>
      </w:r>
      <w:r>
        <w:t xml:space="preserve"> magnetized water and deionized water. We developed SLN and NLC formulations using different solid </w:t>
      </w:r>
      <w:r>
        <w:t xml:space="preserve">and liquid lipids and various emulsifiers. All </w:t>
      </w:r>
      <w:r>
        <w:lastRenderedPageBreak/>
        <w:t xml:space="preserve">formulations </w:t>
      </w:r>
      <w:r>
        <w:t>were prepared with deionized water and magnetized water. The particle size of the nanoparticles w</w:t>
      </w:r>
      <w:r>
        <w:t xml:space="preserve">as determined using PSA (particle size analyzer), the </w:t>
      </w:r>
      <w:r>
        <w:lastRenderedPageBreak/>
        <w:t xml:space="preserve">morphology of nanoparticles was studied using TEM (transmission </w:t>
      </w:r>
    </w:p>
    <w:p w:rsidR="00045DC6" w:rsidRDefault="00045DC6">
      <w:pPr>
        <w:sectPr w:rsidR="00045DC6">
          <w:type w:val="continuous"/>
          <w:pgSz w:w="11906" w:h="16838"/>
          <w:pgMar w:top="1440" w:right="1019" w:bottom="1440" w:left="1020" w:header="720" w:footer="720" w:gutter="0"/>
          <w:cols w:num="2" w:space="350"/>
        </w:sectPr>
      </w:pPr>
    </w:p>
    <w:p w:rsidR="00045DC6" w:rsidRDefault="00F8691C">
      <w:pPr>
        <w:spacing w:after="0" w:line="262" w:lineRule="auto"/>
        <w:ind w:right="0" w:firstLine="0"/>
        <w:jc w:val="left"/>
      </w:pPr>
      <w:r>
        <w:rPr>
          <w:i/>
          <w:sz w:val="14"/>
        </w:rPr>
        <w:lastRenderedPageBreak/>
        <w:t xml:space="preserve">        </w:t>
      </w:r>
      <w:r>
        <w:rPr>
          <w:rFonts w:ascii="Times New Roman" w:eastAsia="Times New Roman" w:hAnsi="Times New Roman" w:cs="Times New Roman"/>
          <w:i/>
          <w:sz w:val="14"/>
        </w:rPr>
        <w:t xml:space="preserve">*Corresponding author: </w:t>
      </w:r>
      <w:r>
        <w:rPr>
          <w:sz w:val="14"/>
        </w:rPr>
        <w:t>Shiva Golmohammadzadeh</w:t>
      </w:r>
      <w:r>
        <w:rPr>
          <w:i/>
          <w:sz w:val="14"/>
        </w:rPr>
        <w:t xml:space="preserve">. </w:t>
      </w:r>
      <w:r>
        <w:rPr>
          <w:sz w:val="14"/>
        </w:rPr>
        <w:t>Nanotechnology Research Center, Pharmaceutical Technology Institute, Mashhad University of Medical Sciences, Mashhad, Iran. Tel: +98-51-38823255; Email: golmohamadzadehsh@mums.ac.ir</w:t>
      </w:r>
    </w:p>
    <w:p w:rsidR="00045DC6" w:rsidRDefault="00F8691C">
      <w:pPr>
        <w:spacing w:after="50" w:line="265" w:lineRule="auto"/>
        <w:ind w:left="-5" w:right="0" w:hanging="10"/>
        <w:jc w:val="left"/>
      </w:pPr>
      <w:r>
        <w:rPr>
          <w:b/>
          <w:sz w:val="16"/>
        </w:rPr>
        <w:t>Table 1.</w:t>
      </w:r>
      <w:r>
        <w:rPr>
          <w:sz w:val="16"/>
        </w:rPr>
        <w:t xml:space="preserve"> Some changes in the properties of magnetized water which we used </w:t>
      </w:r>
      <w:r>
        <w:rPr>
          <w:sz w:val="16"/>
        </w:rPr>
        <w:t>in this study (13)</w:t>
      </w:r>
    </w:p>
    <w:tbl>
      <w:tblPr>
        <w:tblStyle w:val="TableGrid"/>
        <w:tblW w:w="7575" w:type="dxa"/>
        <w:tblInd w:w="1156" w:type="dxa"/>
        <w:tblCellMar>
          <w:top w:w="25" w:type="dxa"/>
          <w:left w:w="0" w:type="dxa"/>
          <w:bottom w:w="0" w:type="dxa"/>
          <w:right w:w="115" w:type="dxa"/>
        </w:tblCellMar>
        <w:tblLook w:val="04A0" w:firstRow="1" w:lastRow="0" w:firstColumn="1" w:lastColumn="0" w:noHBand="0" w:noVBand="1"/>
      </w:tblPr>
      <w:tblGrid>
        <w:gridCol w:w="4804"/>
        <w:gridCol w:w="1356"/>
        <w:gridCol w:w="1415"/>
      </w:tblGrid>
      <w:tr w:rsidR="00045DC6">
        <w:trPr>
          <w:trHeight w:val="235"/>
        </w:trPr>
        <w:tc>
          <w:tcPr>
            <w:tcW w:w="4805" w:type="dxa"/>
            <w:tcBorders>
              <w:top w:val="single" w:sz="3" w:space="0" w:color="000000"/>
              <w:left w:val="nil"/>
              <w:bottom w:val="single" w:sz="3" w:space="0" w:color="000000"/>
              <w:right w:val="nil"/>
            </w:tcBorders>
          </w:tcPr>
          <w:p w:rsidR="00045DC6" w:rsidRDefault="00F8691C">
            <w:pPr>
              <w:spacing w:after="0" w:line="259" w:lineRule="auto"/>
              <w:ind w:left="99" w:right="0" w:firstLine="0"/>
              <w:jc w:val="left"/>
            </w:pPr>
            <w:r>
              <w:rPr>
                <w:sz w:val="13"/>
              </w:rPr>
              <w:t xml:space="preserve">Feature </w:t>
            </w:r>
          </w:p>
        </w:tc>
        <w:tc>
          <w:tcPr>
            <w:tcW w:w="1356" w:type="dxa"/>
            <w:tcBorders>
              <w:top w:val="single" w:sz="3" w:space="0" w:color="000000"/>
              <w:left w:val="nil"/>
              <w:bottom w:val="single" w:sz="3" w:space="0" w:color="000000"/>
              <w:right w:val="nil"/>
            </w:tcBorders>
          </w:tcPr>
          <w:p w:rsidR="00045DC6" w:rsidRDefault="00F8691C">
            <w:pPr>
              <w:spacing w:after="0" w:line="259" w:lineRule="auto"/>
              <w:ind w:left="16" w:right="0" w:firstLine="0"/>
              <w:jc w:val="left"/>
            </w:pPr>
            <w:r>
              <w:rPr>
                <w:sz w:val="13"/>
              </w:rPr>
              <w:t xml:space="preserve">Normal fluid </w:t>
            </w:r>
          </w:p>
        </w:tc>
        <w:tc>
          <w:tcPr>
            <w:tcW w:w="1415" w:type="dxa"/>
            <w:tcBorders>
              <w:top w:val="single" w:sz="3" w:space="0" w:color="000000"/>
              <w:left w:val="nil"/>
              <w:bottom w:val="single" w:sz="3" w:space="0" w:color="000000"/>
              <w:right w:val="nil"/>
            </w:tcBorders>
          </w:tcPr>
          <w:p w:rsidR="00045DC6" w:rsidRDefault="00F8691C">
            <w:pPr>
              <w:spacing w:after="0" w:line="259" w:lineRule="auto"/>
              <w:ind w:right="0" w:firstLine="0"/>
              <w:jc w:val="left"/>
            </w:pPr>
            <w:r>
              <w:rPr>
                <w:sz w:val="13"/>
              </w:rPr>
              <w:t xml:space="preserve">Magnetized water </w:t>
            </w:r>
          </w:p>
        </w:tc>
      </w:tr>
      <w:tr w:rsidR="00045DC6">
        <w:trPr>
          <w:trHeight w:val="205"/>
        </w:trPr>
        <w:tc>
          <w:tcPr>
            <w:tcW w:w="4805" w:type="dxa"/>
            <w:tcBorders>
              <w:top w:val="single" w:sz="3" w:space="0" w:color="000000"/>
              <w:left w:val="nil"/>
              <w:bottom w:val="nil"/>
              <w:right w:val="nil"/>
            </w:tcBorders>
          </w:tcPr>
          <w:p w:rsidR="00045DC6" w:rsidRDefault="00F8691C">
            <w:pPr>
              <w:spacing w:after="0" w:line="259" w:lineRule="auto"/>
              <w:ind w:left="99" w:right="0" w:firstLine="0"/>
              <w:jc w:val="left"/>
            </w:pPr>
            <w:r>
              <w:rPr>
                <w:sz w:val="13"/>
              </w:rPr>
              <w:t xml:space="preserve">The surface tension of water (mN/m) </w:t>
            </w:r>
          </w:p>
        </w:tc>
        <w:tc>
          <w:tcPr>
            <w:tcW w:w="1356" w:type="dxa"/>
            <w:tcBorders>
              <w:top w:val="single" w:sz="3" w:space="0" w:color="000000"/>
              <w:left w:val="nil"/>
              <w:bottom w:val="nil"/>
              <w:right w:val="nil"/>
            </w:tcBorders>
          </w:tcPr>
          <w:p w:rsidR="00045DC6" w:rsidRDefault="00F8691C">
            <w:pPr>
              <w:spacing w:after="0" w:line="259" w:lineRule="auto"/>
              <w:ind w:left="293" w:right="0" w:firstLine="0"/>
              <w:jc w:val="left"/>
            </w:pPr>
            <w:r>
              <w:rPr>
                <w:sz w:val="13"/>
              </w:rPr>
              <w:t>71</w:t>
            </w:r>
            <w:r>
              <w:rPr>
                <w:i/>
                <w:sz w:val="13"/>
              </w:rPr>
              <w:t xml:space="preserve"> </w:t>
            </w:r>
          </w:p>
        </w:tc>
        <w:tc>
          <w:tcPr>
            <w:tcW w:w="1415" w:type="dxa"/>
            <w:tcBorders>
              <w:top w:val="single" w:sz="3" w:space="0" w:color="000000"/>
              <w:left w:val="nil"/>
              <w:bottom w:val="nil"/>
              <w:right w:val="nil"/>
            </w:tcBorders>
          </w:tcPr>
          <w:p w:rsidR="00045DC6" w:rsidRDefault="00F8691C">
            <w:pPr>
              <w:spacing w:after="0" w:line="259" w:lineRule="auto"/>
              <w:ind w:left="425" w:right="0" w:firstLine="0"/>
              <w:jc w:val="left"/>
            </w:pPr>
            <w:r>
              <w:rPr>
                <w:sz w:val="13"/>
              </w:rPr>
              <w:t>58</w:t>
            </w:r>
            <w:r>
              <w:rPr>
                <w:i/>
                <w:sz w:val="13"/>
              </w:rPr>
              <w:t xml:space="preserve"> </w:t>
            </w:r>
          </w:p>
        </w:tc>
      </w:tr>
      <w:tr w:rsidR="00045DC6">
        <w:trPr>
          <w:trHeight w:val="227"/>
        </w:trPr>
        <w:tc>
          <w:tcPr>
            <w:tcW w:w="4805" w:type="dxa"/>
            <w:tcBorders>
              <w:top w:val="nil"/>
              <w:left w:val="nil"/>
              <w:bottom w:val="nil"/>
              <w:right w:val="nil"/>
            </w:tcBorders>
          </w:tcPr>
          <w:p w:rsidR="00045DC6" w:rsidRDefault="00F8691C">
            <w:pPr>
              <w:spacing w:after="0" w:line="259" w:lineRule="auto"/>
              <w:ind w:left="99" w:right="0" w:firstLine="0"/>
              <w:jc w:val="left"/>
            </w:pPr>
            <w:r>
              <w:rPr>
                <w:sz w:val="13"/>
              </w:rPr>
              <w:t xml:space="preserve">Dissolved oxygen in water (mg/l) </w:t>
            </w:r>
          </w:p>
        </w:tc>
        <w:tc>
          <w:tcPr>
            <w:tcW w:w="1356" w:type="dxa"/>
            <w:tcBorders>
              <w:top w:val="nil"/>
              <w:left w:val="nil"/>
              <w:bottom w:val="nil"/>
              <w:right w:val="nil"/>
            </w:tcBorders>
          </w:tcPr>
          <w:p w:rsidR="00045DC6" w:rsidRDefault="00F8691C">
            <w:pPr>
              <w:spacing w:after="0" w:line="259" w:lineRule="auto"/>
              <w:ind w:left="14" w:right="0" w:firstLine="0"/>
              <w:jc w:val="left"/>
            </w:pPr>
            <w:r>
              <w:rPr>
                <w:sz w:val="13"/>
              </w:rPr>
              <w:t xml:space="preserve">4.40 @ 70 </w:t>
            </w:r>
            <w:r>
              <w:rPr>
                <w:rFonts w:ascii="Cambria Math" w:eastAsia="Cambria Math" w:hAnsi="Cambria Math" w:cs="Cambria Math"/>
                <w:sz w:val="13"/>
              </w:rPr>
              <w:t>℃</w:t>
            </w:r>
            <w:r>
              <w:rPr>
                <w:i/>
                <w:sz w:val="13"/>
              </w:rPr>
              <w:t xml:space="preserve"> </w:t>
            </w:r>
          </w:p>
        </w:tc>
        <w:tc>
          <w:tcPr>
            <w:tcW w:w="1415" w:type="dxa"/>
            <w:tcBorders>
              <w:top w:val="nil"/>
              <w:left w:val="nil"/>
              <w:bottom w:val="nil"/>
              <w:right w:val="nil"/>
            </w:tcBorders>
          </w:tcPr>
          <w:p w:rsidR="00045DC6" w:rsidRDefault="00F8691C">
            <w:pPr>
              <w:spacing w:after="0" w:line="259" w:lineRule="auto"/>
              <w:ind w:left="146" w:right="0" w:firstLine="0"/>
              <w:jc w:val="left"/>
            </w:pPr>
            <w:r>
              <w:rPr>
                <w:sz w:val="13"/>
              </w:rPr>
              <w:t xml:space="preserve">5.73 @ 70 </w:t>
            </w:r>
            <w:r>
              <w:rPr>
                <w:rFonts w:ascii="Cambria Math" w:eastAsia="Cambria Math" w:hAnsi="Cambria Math" w:cs="Cambria Math"/>
                <w:sz w:val="13"/>
              </w:rPr>
              <w:t>℃</w:t>
            </w:r>
            <w:r>
              <w:rPr>
                <w:i/>
                <w:sz w:val="13"/>
              </w:rPr>
              <w:t xml:space="preserve"> </w:t>
            </w:r>
          </w:p>
        </w:tc>
      </w:tr>
      <w:tr w:rsidR="00045DC6">
        <w:trPr>
          <w:trHeight w:val="227"/>
        </w:trPr>
        <w:tc>
          <w:tcPr>
            <w:tcW w:w="4805" w:type="dxa"/>
            <w:tcBorders>
              <w:top w:val="nil"/>
              <w:left w:val="nil"/>
              <w:bottom w:val="nil"/>
              <w:right w:val="nil"/>
            </w:tcBorders>
          </w:tcPr>
          <w:p w:rsidR="00045DC6" w:rsidRDefault="00F8691C">
            <w:pPr>
              <w:spacing w:after="0" w:line="259" w:lineRule="auto"/>
              <w:ind w:left="99" w:right="0" w:firstLine="0"/>
              <w:jc w:val="left"/>
            </w:pPr>
            <w:r>
              <w:rPr>
                <w:sz w:val="13"/>
              </w:rPr>
              <w:t>pH of water</w:t>
            </w:r>
            <w:r>
              <w:rPr>
                <w:i/>
                <w:sz w:val="13"/>
              </w:rPr>
              <w:t xml:space="preserve"> </w:t>
            </w:r>
          </w:p>
        </w:tc>
        <w:tc>
          <w:tcPr>
            <w:tcW w:w="1356" w:type="dxa"/>
            <w:tcBorders>
              <w:top w:val="nil"/>
              <w:left w:val="nil"/>
              <w:bottom w:val="nil"/>
              <w:right w:val="nil"/>
            </w:tcBorders>
          </w:tcPr>
          <w:p w:rsidR="00045DC6" w:rsidRDefault="00F8691C">
            <w:pPr>
              <w:spacing w:after="0" w:line="259" w:lineRule="auto"/>
              <w:ind w:left="14" w:right="0" w:firstLine="0"/>
              <w:jc w:val="left"/>
            </w:pPr>
            <w:r>
              <w:rPr>
                <w:sz w:val="13"/>
              </w:rPr>
              <w:t xml:space="preserve">7.86 @ 70 </w:t>
            </w:r>
            <w:r>
              <w:rPr>
                <w:rFonts w:ascii="Cambria Math" w:eastAsia="Cambria Math" w:hAnsi="Cambria Math" w:cs="Cambria Math"/>
                <w:sz w:val="13"/>
              </w:rPr>
              <w:t>℃</w:t>
            </w:r>
            <w:r>
              <w:rPr>
                <w:i/>
                <w:sz w:val="13"/>
              </w:rPr>
              <w:t xml:space="preserve"> </w:t>
            </w:r>
          </w:p>
        </w:tc>
        <w:tc>
          <w:tcPr>
            <w:tcW w:w="1415" w:type="dxa"/>
            <w:tcBorders>
              <w:top w:val="nil"/>
              <w:left w:val="nil"/>
              <w:bottom w:val="nil"/>
              <w:right w:val="nil"/>
            </w:tcBorders>
          </w:tcPr>
          <w:p w:rsidR="00045DC6" w:rsidRDefault="00F8691C">
            <w:pPr>
              <w:spacing w:after="0" w:line="259" w:lineRule="auto"/>
              <w:ind w:left="146" w:right="0" w:firstLine="0"/>
              <w:jc w:val="left"/>
            </w:pPr>
            <w:r>
              <w:rPr>
                <w:sz w:val="13"/>
              </w:rPr>
              <w:t xml:space="preserve">8.08 @ 70 </w:t>
            </w:r>
            <w:r>
              <w:rPr>
                <w:rFonts w:ascii="Cambria Math" w:eastAsia="Cambria Math" w:hAnsi="Cambria Math" w:cs="Cambria Math"/>
                <w:sz w:val="13"/>
              </w:rPr>
              <w:t>℃</w:t>
            </w:r>
            <w:r>
              <w:rPr>
                <w:i/>
                <w:sz w:val="13"/>
              </w:rPr>
              <w:t xml:space="preserve"> </w:t>
            </w:r>
          </w:p>
        </w:tc>
      </w:tr>
      <w:tr w:rsidR="00045DC6">
        <w:trPr>
          <w:trHeight w:val="228"/>
        </w:trPr>
        <w:tc>
          <w:tcPr>
            <w:tcW w:w="4805" w:type="dxa"/>
            <w:tcBorders>
              <w:top w:val="nil"/>
              <w:left w:val="nil"/>
              <w:bottom w:val="nil"/>
              <w:right w:val="nil"/>
            </w:tcBorders>
          </w:tcPr>
          <w:p w:rsidR="00045DC6" w:rsidRDefault="00F8691C">
            <w:pPr>
              <w:spacing w:after="0" w:line="259" w:lineRule="auto"/>
              <w:ind w:left="99" w:right="0" w:firstLine="0"/>
              <w:jc w:val="left"/>
            </w:pPr>
            <w:r>
              <w:rPr>
                <w:sz w:val="13"/>
              </w:rPr>
              <w:t>Stability of colloidal particles in water (speed of coagulation of particles, cm</w:t>
            </w:r>
            <w:r>
              <w:rPr>
                <w:sz w:val="13"/>
                <w:vertAlign w:val="superscript"/>
              </w:rPr>
              <w:t>3</w:t>
            </w:r>
            <w:r>
              <w:rPr>
                <w:sz w:val="13"/>
              </w:rPr>
              <w:t xml:space="preserve">/s) </w:t>
            </w:r>
            <w:r>
              <w:rPr>
                <w:i/>
                <w:sz w:val="13"/>
              </w:rPr>
              <w:t xml:space="preserve"> </w:t>
            </w:r>
          </w:p>
        </w:tc>
        <w:tc>
          <w:tcPr>
            <w:tcW w:w="1356" w:type="dxa"/>
            <w:tcBorders>
              <w:top w:val="nil"/>
              <w:left w:val="nil"/>
              <w:bottom w:val="nil"/>
              <w:right w:val="nil"/>
            </w:tcBorders>
          </w:tcPr>
          <w:p w:rsidR="00045DC6" w:rsidRDefault="00F8691C">
            <w:pPr>
              <w:spacing w:after="0" w:line="259" w:lineRule="auto"/>
              <w:ind w:left="113" w:right="0" w:firstLine="0"/>
              <w:jc w:val="left"/>
            </w:pPr>
            <w:r>
              <w:rPr>
                <w:sz w:val="13"/>
              </w:rPr>
              <w:t>11 × 10</w:t>
            </w:r>
            <w:r>
              <w:rPr>
                <w:sz w:val="13"/>
                <w:vertAlign w:val="superscript"/>
              </w:rPr>
              <w:t>13</w:t>
            </w:r>
            <w:r>
              <w:rPr>
                <w:i/>
                <w:sz w:val="13"/>
              </w:rPr>
              <w:t xml:space="preserve"> </w:t>
            </w:r>
          </w:p>
        </w:tc>
        <w:tc>
          <w:tcPr>
            <w:tcW w:w="1415" w:type="dxa"/>
            <w:tcBorders>
              <w:top w:val="nil"/>
              <w:left w:val="nil"/>
              <w:bottom w:val="nil"/>
              <w:right w:val="nil"/>
            </w:tcBorders>
          </w:tcPr>
          <w:p w:rsidR="00045DC6" w:rsidRDefault="00F8691C">
            <w:pPr>
              <w:spacing w:after="0" w:line="259" w:lineRule="auto"/>
              <w:ind w:left="281" w:right="0" w:firstLine="0"/>
              <w:jc w:val="left"/>
            </w:pPr>
            <w:r>
              <w:rPr>
                <w:sz w:val="13"/>
              </w:rPr>
              <w:t>9 × 10</w:t>
            </w:r>
            <w:r>
              <w:rPr>
                <w:sz w:val="13"/>
                <w:vertAlign w:val="superscript"/>
              </w:rPr>
              <w:t>13</w:t>
            </w:r>
            <w:r>
              <w:rPr>
                <w:i/>
                <w:sz w:val="13"/>
                <w:vertAlign w:val="superscript"/>
              </w:rPr>
              <w:t xml:space="preserve"> </w:t>
            </w:r>
          </w:p>
        </w:tc>
      </w:tr>
      <w:tr w:rsidR="00045DC6">
        <w:trPr>
          <w:trHeight w:val="228"/>
        </w:trPr>
        <w:tc>
          <w:tcPr>
            <w:tcW w:w="4805" w:type="dxa"/>
            <w:tcBorders>
              <w:top w:val="nil"/>
              <w:left w:val="nil"/>
              <w:bottom w:val="nil"/>
              <w:right w:val="nil"/>
            </w:tcBorders>
          </w:tcPr>
          <w:p w:rsidR="00045DC6" w:rsidRDefault="00F8691C">
            <w:pPr>
              <w:spacing w:after="0" w:line="259" w:lineRule="auto"/>
              <w:ind w:left="99" w:right="0" w:firstLine="0"/>
              <w:jc w:val="left"/>
            </w:pPr>
            <w:r>
              <w:rPr>
                <w:sz w:val="13"/>
              </w:rPr>
              <w:t>Kinematic viscosity of water  (m</w:t>
            </w:r>
            <w:r>
              <w:rPr>
                <w:sz w:val="13"/>
                <w:vertAlign w:val="superscript"/>
              </w:rPr>
              <w:t>2</w:t>
            </w:r>
            <w:r>
              <w:rPr>
                <w:sz w:val="13"/>
              </w:rPr>
              <w:t>/s)</w:t>
            </w:r>
            <w:r>
              <w:rPr>
                <w:i/>
                <w:sz w:val="13"/>
              </w:rPr>
              <w:t xml:space="preserve"> </w:t>
            </w:r>
          </w:p>
        </w:tc>
        <w:tc>
          <w:tcPr>
            <w:tcW w:w="1356" w:type="dxa"/>
            <w:tcBorders>
              <w:top w:val="nil"/>
              <w:left w:val="nil"/>
              <w:bottom w:val="nil"/>
              <w:right w:val="nil"/>
            </w:tcBorders>
          </w:tcPr>
          <w:p w:rsidR="00045DC6" w:rsidRDefault="00F8691C">
            <w:pPr>
              <w:spacing w:after="0" w:line="259" w:lineRule="auto"/>
              <w:ind w:right="0" w:firstLine="0"/>
              <w:jc w:val="left"/>
            </w:pPr>
            <w:r>
              <w:rPr>
                <w:sz w:val="13"/>
              </w:rPr>
              <w:t>7.0387 × 10</w:t>
            </w:r>
            <w:r>
              <w:rPr>
                <w:sz w:val="13"/>
                <w:vertAlign w:val="superscript"/>
              </w:rPr>
              <w:t>-9</w:t>
            </w:r>
            <w:r>
              <w:rPr>
                <w:i/>
                <w:sz w:val="13"/>
                <w:vertAlign w:val="superscript"/>
              </w:rPr>
              <w:t xml:space="preserve"> </w:t>
            </w:r>
          </w:p>
        </w:tc>
        <w:tc>
          <w:tcPr>
            <w:tcW w:w="1415" w:type="dxa"/>
            <w:tcBorders>
              <w:top w:val="nil"/>
              <w:left w:val="nil"/>
              <w:bottom w:val="nil"/>
              <w:right w:val="nil"/>
            </w:tcBorders>
          </w:tcPr>
          <w:p w:rsidR="00045DC6" w:rsidRDefault="00F8691C">
            <w:pPr>
              <w:spacing w:after="0" w:line="259" w:lineRule="auto"/>
              <w:ind w:left="111" w:right="0" w:firstLine="0"/>
              <w:jc w:val="left"/>
            </w:pPr>
            <w:r>
              <w:rPr>
                <w:sz w:val="13"/>
              </w:rPr>
              <w:t>2.0959 × 10</w:t>
            </w:r>
            <w:r>
              <w:rPr>
                <w:sz w:val="13"/>
                <w:vertAlign w:val="superscript"/>
              </w:rPr>
              <w:t>-12</w:t>
            </w:r>
            <w:r>
              <w:rPr>
                <w:i/>
                <w:sz w:val="13"/>
                <w:vertAlign w:val="superscript"/>
              </w:rPr>
              <w:t xml:space="preserve"> </w:t>
            </w:r>
          </w:p>
        </w:tc>
      </w:tr>
      <w:tr w:rsidR="00045DC6">
        <w:trPr>
          <w:trHeight w:val="227"/>
        </w:trPr>
        <w:tc>
          <w:tcPr>
            <w:tcW w:w="4805" w:type="dxa"/>
            <w:tcBorders>
              <w:top w:val="nil"/>
              <w:left w:val="nil"/>
              <w:bottom w:val="nil"/>
              <w:right w:val="nil"/>
            </w:tcBorders>
          </w:tcPr>
          <w:p w:rsidR="00045DC6" w:rsidRDefault="00F8691C">
            <w:pPr>
              <w:spacing w:after="0" w:line="259" w:lineRule="auto"/>
              <w:ind w:left="99" w:right="0" w:firstLine="0"/>
              <w:jc w:val="left"/>
            </w:pPr>
            <w:r>
              <w:rPr>
                <w:sz w:val="13"/>
              </w:rPr>
              <w:t>The density of water (g/cm</w:t>
            </w:r>
            <w:r>
              <w:rPr>
                <w:sz w:val="13"/>
                <w:vertAlign w:val="superscript"/>
              </w:rPr>
              <w:t>3</w:t>
            </w:r>
            <w:r>
              <w:rPr>
                <w:sz w:val="13"/>
              </w:rPr>
              <w:t>)</w:t>
            </w:r>
            <w:r>
              <w:rPr>
                <w:i/>
                <w:sz w:val="13"/>
              </w:rPr>
              <w:t xml:space="preserve"> </w:t>
            </w:r>
          </w:p>
        </w:tc>
        <w:tc>
          <w:tcPr>
            <w:tcW w:w="1356" w:type="dxa"/>
            <w:tcBorders>
              <w:top w:val="nil"/>
              <w:left w:val="nil"/>
              <w:bottom w:val="nil"/>
              <w:right w:val="nil"/>
            </w:tcBorders>
          </w:tcPr>
          <w:p w:rsidR="00045DC6" w:rsidRDefault="00F8691C">
            <w:pPr>
              <w:spacing w:after="0" w:line="259" w:lineRule="auto"/>
              <w:ind w:left="136" w:right="0" w:firstLine="0"/>
              <w:jc w:val="left"/>
            </w:pPr>
            <w:r>
              <w:rPr>
                <w:sz w:val="13"/>
              </w:rPr>
              <w:t xml:space="preserve">0.89646 </w:t>
            </w:r>
          </w:p>
        </w:tc>
        <w:tc>
          <w:tcPr>
            <w:tcW w:w="1415" w:type="dxa"/>
            <w:tcBorders>
              <w:top w:val="nil"/>
              <w:left w:val="nil"/>
              <w:bottom w:val="nil"/>
              <w:right w:val="nil"/>
            </w:tcBorders>
          </w:tcPr>
          <w:p w:rsidR="00045DC6" w:rsidRDefault="00F8691C">
            <w:pPr>
              <w:spacing w:after="0" w:line="259" w:lineRule="auto"/>
              <w:ind w:left="270" w:right="0" w:firstLine="0"/>
              <w:jc w:val="left"/>
            </w:pPr>
            <w:r>
              <w:rPr>
                <w:sz w:val="13"/>
              </w:rPr>
              <w:t>1.00267</w:t>
            </w:r>
            <w:r>
              <w:rPr>
                <w:i/>
                <w:sz w:val="13"/>
              </w:rPr>
              <w:t xml:space="preserve"> </w:t>
            </w:r>
          </w:p>
        </w:tc>
      </w:tr>
      <w:tr w:rsidR="00045DC6">
        <w:trPr>
          <w:trHeight w:val="258"/>
        </w:trPr>
        <w:tc>
          <w:tcPr>
            <w:tcW w:w="4805" w:type="dxa"/>
            <w:tcBorders>
              <w:top w:val="nil"/>
              <w:left w:val="nil"/>
              <w:bottom w:val="single" w:sz="3" w:space="0" w:color="000000"/>
              <w:right w:val="nil"/>
            </w:tcBorders>
          </w:tcPr>
          <w:p w:rsidR="00045DC6" w:rsidRDefault="00F8691C">
            <w:pPr>
              <w:spacing w:after="0" w:line="259" w:lineRule="auto"/>
              <w:ind w:left="99" w:right="0" w:firstLine="0"/>
              <w:jc w:val="left"/>
            </w:pPr>
            <w:r>
              <w:rPr>
                <w:sz w:val="13"/>
              </w:rPr>
              <w:t xml:space="preserve">Number of hydrogen bonds in water </w:t>
            </w:r>
          </w:p>
        </w:tc>
        <w:tc>
          <w:tcPr>
            <w:tcW w:w="1356" w:type="dxa"/>
            <w:tcBorders>
              <w:top w:val="nil"/>
              <w:left w:val="nil"/>
              <w:bottom w:val="single" w:sz="3" w:space="0" w:color="000000"/>
              <w:right w:val="nil"/>
            </w:tcBorders>
          </w:tcPr>
          <w:p w:rsidR="00045DC6" w:rsidRDefault="00F8691C">
            <w:pPr>
              <w:spacing w:after="0" w:line="259" w:lineRule="auto"/>
              <w:ind w:left="208" w:right="0" w:firstLine="0"/>
              <w:jc w:val="left"/>
            </w:pPr>
            <w:r>
              <w:rPr>
                <w:sz w:val="13"/>
              </w:rPr>
              <w:t>3.470</w:t>
            </w:r>
            <w:r>
              <w:rPr>
                <w:i/>
                <w:sz w:val="13"/>
              </w:rPr>
              <w:t xml:space="preserve"> </w:t>
            </w:r>
          </w:p>
        </w:tc>
        <w:tc>
          <w:tcPr>
            <w:tcW w:w="1415" w:type="dxa"/>
            <w:tcBorders>
              <w:top w:val="nil"/>
              <w:left w:val="nil"/>
              <w:bottom w:val="single" w:sz="3" w:space="0" w:color="000000"/>
              <w:right w:val="nil"/>
            </w:tcBorders>
          </w:tcPr>
          <w:p w:rsidR="00045DC6" w:rsidRDefault="00F8691C">
            <w:pPr>
              <w:spacing w:after="0" w:line="259" w:lineRule="auto"/>
              <w:ind w:left="342" w:right="0" w:firstLine="0"/>
              <w:jc w:val="left"/>
            </w:pPr>
            <w:r>
              <w:rPr>
                <w:sz w:val="13"/>
              </w:rPr>
              <w:t>3.482</w:t>
            </w:r>
            <w:r>
              <w:rPr>
                <w:i/>
                <w:sz w:val="13"/>
              </w:rPr>
              <w:t xml:space="preserve"> </w:t>
            </w:r>
          </w:p>
        </w:tc>
      </w:tr>
    </w:tbl>
    <w:p w:rsidR="00045DC6" w:rsidRDefault="00045DC6">
      <w:pPr>
        <w:sectPr w:rsidR="00045DC6">
          <w:type w:val="continuous"/>
          <w:pgSz w:w="11906" w:h="16838"/>
          <w:pgMar w:top="1417" w:right="1020" w:bottom="1114" w:left="1020" w:header="720" w:footer="720" w:gutter="0"/>
          <w:cols w:space="720"/>
        </w:sectPr>
      </w:pPr>
    </w:p>
    <w:p w:rsidR="00045DC6" w:rsidRDefault="00F8691C">
      <w:pPr>
        <w:spacing w:after="31" w:line="259" w:lineRule="auto"/>
        <w:ind w:left="1309" w:right="0" w:firstLine="0"/>
        <w:jc w:val="left"/>
      </w:pPr>
      <w:r>
        <w:rPr>
          <w:rFonts w:ascii="Calibri" w:eastAsia="Calibri" w:hAnsi="Calibri" w:cs="Calibri"/>
          <w:sz w:val="18"/>
        </w:rPr>
        <w:lastRenderedPageBreak/>
        <w:t xml:space="preserve"> </w:t>
      </w:r>
    </w:p>
    <w:p w:rsidR="00045DC6" w:rsidRDefault="00F8691C">
      <w:pPr>
        <w:spacing w:after="263"/>
        <w:ind w:left="-15" w:right="30" w:firstLine="0"/>
      </w:pPr>
      <w:r>
        <w:t xml:space="preserve">electron microscopy); then, DSC (differential scanning calorimetry) analyses were performed. Finally, the occlusive factor and moisturizing effects were investigated using </w:t>
      </w:r>
      <w:r>
        <w:rPr>
          <w:i/>
        </w:rPr>
        <w:t>in vivo</w:t>
      </w:r>
      <w:r>
        <w:t xml:space="preserve"> and </w:t>
      </w:r>
      <w:r>
        <w:rPr>
          <w:i/>
        </w:rPr>
        <w:t>in vitro</w:t>
      </w:r>
      <w:r>
        <w:t xml:space="preserve"> methods.</w:t>
      </w:r>
    </w:p>
    <w:p w:rsidR="00045DC6" w:rsidRDefault="00F8691C">
      <w:pPr>
        <w:pStyle w:val="Heading1"/>
        <w:spacing w:before="0"/>
        <w:ind w:left="-5"/>
      </w:pPr>
      <w:r>
        <w:t>Materials and Methods</w:t>
      </w:r>
    </w:p>
    <w:p w:rsidR="00045DC6" w:rsidRDefault="00F8691C">
      <w:pPr>
        <w:spacing w:after="223"/>
        <w:ind w:left="-15" w:right="30"/>
      </w:pPr>
      <w:r>
        <w:t xml:space="preserve">Glyceryl palmitostearate (Precirol ® ATO 5), Tripalmitin and Glyceryl behenate (Compritol® 888 ATO) were purchased from Gattefossé (Pvt. Ltd. France). </w:t>
      </w:r>
      <w:r>
        <w:t>Cetyl palmitate (CP) and Tween 80 were gifted from Sigma- Aldrich</w:t>
      </w:r>
      <w:r>
        <w:t xml:space="preserve"> Co. (Deisenhofen Germany). Poloxamer 188 was obtained from Uniqema (Everberg, Belgium). Also, oleic acid was purchased from Oxin Chemistry </w:t>
      </w:r>
      <w:r>
        <w:t>Company (Kh. Razavi, Iran). The water used was either deionized or magnetized water. All of the materials were origi</w:t>
      </w:r>
      <w:r>
        <w:t xml:space="preserve">nal and fresh. </w:t>
      </w:r>
    </w:p>
    <w:p w:rsidR="00045DC6" w:rsidRDefault="00F8691C">
      <w:pPr>
        <w:pStyle w:val="Heading2"/>
        <w:ind w:left="-5"/>
      </w:pPr>
      <w:r>
        <w:t>Preparation of SLN and NLC</w:t>
      </w:r>
    </w:p>
    <w:p w:rsidR="00045DC6" w:rsidRDefault="00F8691C">
      <w:pPr>
        <w:spacing w:after="3" w:line="224" w:lineRule="auto"/>
        <w:ind w:left="-15" w:right="30"/>
      </w:pPr>
      <w:r>
        <w:t xml:space="preserve">SLN and NLC were prepared by high-shear </w:t>
      </w:r>
      <w:r>
        <w:t xml:space="preserve">homogenization and ultrasound technique. The lipid </w:t>
      </w:r>
      <w:r>
        <w:t xml:space="preserve">phase was heated at 5 </w:t>
      </w:r>
      <w:r>
        <w:rPr>
          <w:sz w:val="18"/>
          <w:vertAlign w:val="superscript"/>
        </w:rPr>
        <w:t>°</w:t>
      </w:r>
      <w:r>
        <w:t xml:space="preserve">C to 10 </w:t>
      </w:r>
      <w:r>
        <w:rPr>
          <w:sz w:val="18"/>
          <w:vertAlign w:val="superscript"/>
        </w:rPr>
        <w:t>°</w:t>
      </w:r>
      <w:r>
        <w:t xml:space="preserve">C above their melting point. In the current study, the lipid phase consists of </w:t>
      </w:r>
      <w:r>
        <w:t xml:space="preserve">Precirol®, </w:t>
      </w:r>
      <w:r>
        <w:t xml:space="preserve">Compritol®, and Tripalmitin. The aqueous phase was prepared by dissolving Tween 80 for Tripalmitin, Poloxamer for Compritol®, and Precirol® </w:t>
      </w:r>
      <w:r>
        <w:t xml:space="preserve">in deionized water and magnetized water (Table 2). </w:t>
      </w:r>
      <w:r>
        <w:t xml:space="preserve">Therefore, the hot aqueous phase was added to the </w:t>
      </w:r>
      <w:r>
        <w:t>melted lipid ph</w:t>
      </w:r>
      <w:r>
        <w:t xml:space="preserve">ase and then homogenized with a </w:t>
      </w:r>
      <w:r>
        <w:t xml:space="preserve">Diax 900 homogenizer (Heidolph, Germany) in three consecutive steps. The first step was 2.5 min at 18000 rpm, the second step for 2.5 min at 23000 rpm, and the third step for 1 min at 28000 rpm, homogenized. </w:t>
      </w:r>
      <w:r>
        <w:t>Throughout these</w:t>
      </w:r>
      <w:r>
        <w:t xml:space="preserve"> steps, the temperature was kept up to 5 °C up to the lipid melting point. Then, the oil in water emulsion was ultrasonicated with a Probe Sonicator </w:t>
      </w:r>
      <w:r>
        <w:t>(Bransonic, USA) in 6 cycles of 30 sec with a rest period of 15 sec between each cycle. Finally, the mixtur</w:t>
      </w:r>
      <w:r>
        <w:t xml:space="preserve">e was </w:t>
      </w:r>
      <w:r>
        <w:t xml:space="preserve">placed at room temperature to cool completely, and the nanoemulsion was formed (16). The preparation of </w:t>
      </w:r>
      <w:r>
        <w:t xml:space="preserve">NLC was similar to SLN, except that it contained 30% oleic acid and 70% solid lipid. These formulations were </w:t>
      </w:r>
      <w:r>
        <w:t>prepared with both deionized water an</w:t>
      </w:r>
      <w:r>
        <w:t xml:space="preserve">d magnetized </w:t>
      </w:r>
      <w:r>
        <w:t>water (17-20).</w:t>
      </w:r>
    </w:p>
    <w:p w:rsidR="00045DC6" w:rsidRDefault="00F8691C">
      <w:pPr>
        <w:pStyle w:val="Heading2"/>
        <w:ind w:left="-5"/>
      </w:pPr>
      <w:r>
        <w:lastRenderedPageBreak/>
        <w:t>Preparation of magnetized water</w:t>
      </w:r>
    </w:p>
    <w:p w:rsidR="00045DC6" w:rsidRDefault="00F8691C">
      <w:pPr>
        <w:spacing w:after="165"/>
        <w:ind w:left="-15" w:right="30"/>
      </w:pPr>
      <w:r>
        <w:t xml:space="preserve">For this purpose, a solvent magnetizing apparatus </w:t>
      </w:r>
      <w:r>
        <w:t xml:space="preserve">(SMA) was used. The SMA had a static magnetic field </w:t>
      </w:r>
      <w:r>
        <w:t xml:space="preserve">in a compact form called “AQUA CORRECT.” The device </w:t>
      </w:r>
      <w:r>
        <w:t xml:space="preserve">(Germany, H.P.S Co.) had a coaxial static magnetic system of 6000 G field strength [DN = 20, 3/4 in., flow 2 m3/hr] for the experiments. It passes the water through </w:t>
      </w:r>
      <w:r>
        <w:t xml:space="preserve">the SMA, a magnetic source embedded in a hollow </w:t>
      </w:r>
      <w:r>
        <w:t>cylinder, and when it passes through this m</w:t>
      </w:r>
      <w:r>
        <w:t xml:space="preserve">agnetic field, </w:t>
      </w:r>
      <w:r>
        <w:t>its properties are subject to change. First, the device was washed with deionized water carefully, so that about 1 liter of deionized water entered (1st lower reservoir of the apparatus) and then after closing the valve between the two reser</w:t>
      </w:r>
      <w:r>
        <w:t xml:space="preserve">voirs, the pump was turned on for 5 sec until all of the water passed through the magnetic device to the second reservoir (this magnetized the water for </w:t>
      </w:r>
      <w:r>
        <w:t xml:space="preserve">one pass). In the next step, to determine the optimum </w:t>
      </w:r>
      <w:r>
        <w:t>magnetic moment,  the deionized water samples, we</w:t>
      </w:r>
      <w:r>
        <w:t xml:space="preserve">re added to the device after opening the red valve the desired </w:t>
      </w:r>
      <w:r>
        <w:t xml:space="preserve">time of 5 min, 10 min, 15 min, 30 min, 45 min, 60 min, and 90 min for recycling (Figure 1). Finally, the sizes of SLN </w:t>
      </w:r>
      <w:r>
        <w:t>and NLC were analyzed at each time point by a particle size analyzer. Accor</w:t>
      </w:r>
      <w:r>
        <w:t xml:space="preserve">ding to the data, the water obtained </w:t>
      </w:r>
      <w:r>
        <w:t xml:space="preserve">from 60 min rotary water device was considered as the </w:t>
      </w:r>
      <w:r>
        <w:t>best-magnetized water for this study (21).</w:t>
      </w:r>
    </w:p>
    <w:p w:rsidR="00045DC6" w:rsidRDefault="00F8691C">
      <w:pPr>
        <w:spacing w:after="126" w:line="259" w:lineRule="auto"/>
        <w:ind w:right="525" w:firstLine="0"/>
        <w:jc w:val="right"/>
      </w:pPr>
      <w:r>
        <w:rPr>
          <w:noProof/>
        </w:rPr>
        <w:drawing>
          <wp:inline distT="0" distB="0" distL="0" distR="0">
            <wp:extent cx="2318688" cy="2028585"/>
            <wp:effectExtent l="0" t="0" r="0" b="0"/>
            <wp:docPr id="409" name="Picture 409"/>
            <wp:cNvGraphicFramePr/>
            <a:graphic xmlns:a="http://schemas.openxmlformats.org/drawingml/2006/main">
              <a:graphicData uri="http://schemas.openxmlformats.org/drawingml/2006/picture">
                <pic:pic xmlns:pic="http://schemas.openxmlformats.org/drawingml/2006/picture">
                  <pic:nvPicPr>
                    <pic:cNvPr id="409" name="Picture 409"/>
                    <pic:cNvPicPr/>
                  </pic:nvPicPr>
                  <pic:blipFill>
                    <a:blip r:embed="rId17"/>
                    <a:stretch>
                      <a:fillRect/>
                    </a:stretch>
                  </pic:blipFill>
                  <pic:spPr>
                    <a:xfrm>
                      <a:off x="0" y="0"/>
                      <a:ext cx="2318688" cy="2028585"/>
                    </a:xfrm>
                    <a:prstGeom prst="rect">
                      <a:avLst/>
                    </a:prstGeom>
                  </pic:spPr>
                </pic:pic>
              </a:graphicData>
            </a:graphic>
          </wp:inline>
        </w:drawing>
      </w:r>
      <w:r>
        <w:rPr>
          <w:rFonts w:ascii="Calibri" w:eastAsia="Calibri" w:hAnsi="Calibri" w:cs="Calibri"/>
          <w:sz w:val="18"/>
        </w:rPr>
        <w:t xml:space="preserve"> </w:t>
      </w:r>
    </w:p>
    <w:tbl>
      <w:tblPr>
        <w:tblStyle w:val="TableGrid"/>
        <w:tblpPr w:vertAnchor="text" w:horzAnchor="margin" w:tblpY="702"/>
        <w:tblOverlap w:val="never"/>
        <w:tblW w:w="9909" w:type="dxa"/>
        <w:tblInd w:w="0" w:type="dxa"/>
        <w:tblCellMar>
          <w:top w:w="0" w:type="dxa"/>
          <w:left w:w="0" w:type="dxa"/>
          <w:bottom w:w="0" w:type="dxa"/>
          <w:right w:w="1332" w:type="dxa"/>
        </w:tblCellMar>
        <w:tblLook w:val="04A0" w:firstRow="1" w:lastRow="0" w:firstColumn="1" w:lastColumn="0" w:noHBand="0" w:noVBand="1"/>
      </w:tblPr>
      <w:tblGrid>
        <w:gridCol w:w="9909"/>
      </w:tblGrid>
      <w:tr w:rsidR="00045DC6">
        <w:trPr>
          <w:trHeight w:val="1717"/>
        </w:trPr>
        <w:tc>
          <w:tcPr>
            <w:tcW w:w="5540" w:type="dxa"/>
            <w:tcBorders>
              <w:top w:val="nil"/>
              <w:left w:val="nil"/>
              <w:bottom w:val="nil"/>
              <w:right w:val="nil"/>
            </w:tcBorders>
          </w:tcPr>
          <w:p w:rsidR="00045DC6" w:rsidRDefault="00F8691C">
            <w:pPr>
              <w:spacing w:after="0" w:line="259" w:lineRule="auto"/>
              <w:ind w:right="0" w:firstLine="0"/>
              <w:jc w:val="left"/>
            </w:pPr>
            <w:r>
              <w:rPr>
                <w:b/>
                <w:sz w:val="16"/>
              </w:rPr>
              <w:lastRenderedPageBreak/>
              <w:t xml:space="preserve">Table 2. </w:t>
            </w:r>
            <w:r>
              <w:rPr>
                <w:sz w:val="16"/>
              </w:rPr>
              <w:t>Types of prepared formulation and the percentage of each component</w:t>
            </w:r>
          </w:p>
          <w:tbl>
            <w:tblPr>
              <w:tblStyle w:val="TableGrid"/>
              <w:tblW w:w="7304" w:type="dxa"/>
              <w:tblInd w:w="1273" w:type="dxa"/>
              <w:tblCellMar>
                <w:top w:w="24" w:type="dxa"/>
                <w:left w:w="0" w:type="dxa"/>
                <w:bottom w:w="0" w:type="dxa"/>
                <w:right w:w="401" w:type="dxa"/>
              </w:tblCellMar>
              <w:tblLook w:val="04A0" w:firstRow="1" w:lastRow="0" w:firstColumn="1" w:lastColumn="0" w:noHBand="0" w:noVBand="1"/>
            </w:tblPr>
            <w:tblGrid>
              <w:gridCol w:w="2377"/>
              <w:gridCol w:w="1796"/>
              <w:gridCol w:w="1875"/>
              <w:gridCol w:w="1256"/>
            </w:tblGrid>
            <w:tr w:rsidR="00045DC6">
              <w:trPr>
                <w:trHeight w:val="229"/>
              </w:trPr>
              <w:tc>
                <w:tcPr>
                  <w:tcW w:w="2377" w:type="dxa"/>
                  <w:tcBorders>
                    <w:top w:val="single" w:sz="3" w:space="0" w:color="000000"/>
                    <w:left w:val="nil"/>
                    <w:bottom w:val="single" w:sz="3" w:space="0" w:color="000000"/>
                    <w:right w:val="nil"/>
                  </w:tcBorders>
                </w:tcPr>
                <w:p w:rsidR="00045DC6" w:rsidRDefault="00F8691C">
                  <w:pPr>
                    <w:framePr w:wrap="around" w:vAnchor="text" w:hAnchor="margin" w:y="702"/>
                    <w:spacing w:after="0" w:line="259" w:lineRule="auto"/>
                    <w:ind w:left="96" w:right="0" w:firstLine="0"/>
                    <w:suppressOverlap/>
                    <w:jc w:val="left"/>
                  </w:pPr>
                  <w:r>
                    <w:rPr>
                      <w:sz w:val="13"/>
                    </w:rPr>
                    <w:t xml:space="preserve"> </w:t>
                  </w:r>
                </w:p>
              </w:tc>
              <w:tc>
                <w:tcPr>
                  <w:tcW w:w="1796" w:type="dxa"/>
                  <w:tcBorders>
                    <w:top w:val="single" w:sz="3" w:space="0" w:color="000000"/>
                    <w:left w:val="nil"/>
                    <w:bottom w:val="single" w:sz="3" w:space="0" w:color="000000"/>
                    <w:right w:val="nil"/>
                  </w:tcBorders>
                </w:tcPr>
                <w:p w:rsidR="00045DC6" w:rsidRDefault="00F8691C">
                  <w:pPr>
                    <w:framePr w:wrap="around" w:vAnchor="text" w:hAnchor="margin" w:y="702"/>
                    <w:spacing w:after="0" w:line="259" w:lineRule="auto"/>
                    <w:ind w:left="323" w:right="0" w:firstLine="0"/>
                    <w:suppressOverlap/>
                    <w:jc w:val="left"/>
                  </w:pPr>
                  <w:r>
                    <w:rPr>
                      <w:sz w:val="13"/>
                    </w:rPr>
                    <w:t xml:space="preserve">PP </w:t>
                  </w:r>
                </w:p>
              </w:tc>
              <w:tc>
                <w:tcPr>
                  <w:tcW w:w="1875" w:type="dxa"/>
                  <w:tcBorders>
                    <w:top w:val="single" w:sz="3" w:space="0" w:color="000000"/>
                    <w:left w:val="nil"/>
                    <w:bottom w:val="single" w:sz="3" w:space="0" w:color="000000"/>
                    <w:right w:val="nil"/>
                  </w:tcBorders>
                </w:tcPr>
                <w:p w:rsidR="00045DC6" w:rsidRDefault="00F8691C">
                  <w:pPr>
                    <w:framePr w:wrap="around" w:vAnchor="text" w:hAnchor="margin" w:y="702"/>
                    <w:spacing w:after="0" w:line="259" w:lineRule="auto"/>
                    <w:ind w:left="372" w:right="0" w:firstLine="0"/>
                    <w:suppressOverlap/>
                    <w:jc w:val="left"/>
                  </w:pPr>
                  <w:r>
                    <w:rPr>
                      <w:sz w:val="13"/>
                    </w:rPr>
                    <w:t xml:space="preserve">CP </w:t>
                  </w:r>
                </w:p>
              </w:tc>
              <w:tc>
                <w:tcPr>
                  <w:tcW w:w="1256" w:type="dxa"/>
                  <w:tcBorders>
                    <w:top w:val="single" w:sz="3" w:space="0" w:color="000000"/>
                    <w:left w:val="nil"/>
                    <w:bottom w:val="single" w:sz="3" w:space="0" w:color="000000"/>
                    <w:right w:val="nil"/>
                  </w:tcBorders>
                </w:tcPr>
                <w:p w:rsidR="00045DC6" w:rsidRDefault="00F8691C">
                  <w:pPr>
                    <w:framePr w:wrap="around" w:vAnchor="text" w:hAnchor="margin" w:y="702"/>
                    <w:spacing w:after="0" w:line="259" w:lineRule="auto"/>
                    <w:ind w:left="339" w:right="0" w:firstLine="0"/>
                    <w:suppressOverlap/>
                    <w:jc w:val="left"/>
                  </w:pPr>
                  <w:r>
                    <w:rPr>
                      <w:sz w:val="13"/>
                    </w:rPr>
                    <w:t xml:space="preserve">TT </w:t>
                  </w:r>
                </w:p>
              </w:tc>
            </w:tr>
            <w:tr w:rsidR="00045DC6">
              <w:trPr>
                <w:trHeight w:val="200"/>
              </w:trPr>
              <w:tc>
                <w:tcPr>
                  <w:tcW w:w="2377" w:type="dxa"/>
                  <w:tcBorders>
                    <w:top w:val="single" w:sz="3" w:space="0" w:color="000000"/>
                    <w:left w:val="nil"/>
                    <w:bottom w:val="nil"/>
                    <w:right w:val="nil"/>
                  </w:tcBorders>
                </w:tcPr>
                <w:p w:rsidR="00045DC6" w:rsidRDefault="00F8691C">
                  <w:pPr>
                    <w:framePr w:wrap="around" w:vAnchor="text" w:hAnchor="margin" w:y="702"/>
                    <w:spacing w:after="0" w:line="259" w:lineRule="auto"/>
                    <w:ind w:left="96" w:right="0" w:firstLine="0"/>
                    <w:suppressOverlap/>
                    <w:jc w:val="left"/>
                  </w:pPr>
                  <w:r>
                    <w:rPr>
                      <w:sz w:val="13"/>
                    </w:rPr>
                    <w:t xml:space="preserve">Lipid phase </w:t>
                  </w:r>
                </w:p>
              </w:tc>
              <w:tc>
                <w:tcPr>
                  <w:tcW w:w="1796" w:type="dxa"/>
                  <w:tcBorders>
                    <w:top w:val="single" w:sz="3" w:space="0" w:color="000000"/>
                    <w:left w:val="nil"/>
                    <w:bottom w:val="nil"/>
                    <w:right w:val="nil"/>
                  </w:tcBorders>
                </w:tcPr>
                <w:p w:rsidR="00045DC6" w:rsidRDefault="00F8691C">
                  <w:pPr>
                    <w:framePr w:wrap="around" w:vAnchor="text" w:hAnchor="margin" w:y="702"/>
                    <w:spacing w:after="0" w:line="259" w:lineRule="auto"/>
                    <w:ind w:left="23" w:right="0" w:firstLine="0"/>
                    <w:suppressOverlap/>
                    <w:jc w:val="left"/>
                  </w:pPr>
                  <w:r>
                    <w:rPr>
                      <w:sz w:val="13"/>
                    </w:rPr>
                    <w:t xml:space="preserve">Precirol® 5% </w:t>
                  </w:r>
                </w:p>
              </w:tc>
              <w:tc>
                <w:tcPr>
                  <w:tcW w:w="1875" w:type="dxa"/>
                  <w:tcBorders>
                    <w:top w:val="single" w:sz="3" w:space="0" w:color="000000"/>
                    <w:left w:val="nil"/>
                    <w:bottom w:val="nil"/>
                    <w:right w:val="nil"/>
                  </w:tcBorders>
                </w:tcPr>
                <w:p w:rsidR="00045DC6" w:rsidRDefault="00F8691C">
                  <w:pPr>
                    <w:framePr w:wrap="around" w:vAnchor="text" w:hAnchor="margin" w:y="702"/>
                    <w:spacing w:after="0" w:line="259" w:lineRule="auto"/>
                    <w:ind w:left="13" w:right="0" w:firstLine="0"/>
                    <w:suppressOverlap/>
                    <w:jc w:val="left"/>
                  </w:pPr>
                  <w:r>
                    <w:rPr>
                      <w:sz w:val="13"/>
                    </w:rPr>
                    <w:t xml:space="preserve">Compritol® 5% </w:t>
                  </w:r>
                </w:p>
              </w:tc>
              <w:tc>
                <w:tcPr>
                  <w:tcW w:w="1256" w:type="dxa"/>
                  <w:tcBorders>
                    <w:top w:val="single" w:sz="3" w:space="0" w:color="000000"/>
                    <w:left w:val="nil"/>
                    <w:bottom w:val="nil"/>
                    <w:right w:val="nil"/>
                  </w:tcBorders>
                </w:tcPr>
                <w:p w:rsidR="00045DC6" w:rsidRDefault="00F8691C">
                  <w:pPr>
                    <w:framePr w:wrap="around" w:vAnchor="text" w:hAnchor="margin" w:y="702"/>
                    <w:spacing w:after="0" w:line="259" w:lineRule="auto"/>
                    <w:ind w:right="0" w:firstLine="0"/>
                    <w:suppressOverlap/>
                    <w:jc w:val="left"/>
                  </w:pPr>
                  <w:r>
                    <w:rPr>
                      <w:sz w:val="13"/>
                    </w:rPr>
                    <w:t xml:space="preserve">Tripalmitin 5% </w:t>
                  </w:r>
                </w:p>
              </w:tc>
            </w:tr>
            <w:tr w:rsidR="00045DC6">
              <w:trPr>
                <w:trHeight w:val="473"/>
              </w:trPr>
              <w:tc>
                <w:tcPr>
                  <w:tcW w:w="2377" w:type="dxa"/>
                  <w:tcBorders>
                    <w:top w:val="nil"/>
                    <w:left w:val="nil"/>
                    <w:bottom w:val="single" w:sz="3" w:space="0" w:color="000000"/>
                    <w:right w:val="nil"/>
                  </w:tcBorders>
                </w:tcPr>
                <w:p w:rsidR="00045DC6" w:rsidRDefault="00F8691C">
                  <w:pPr>
                    <w:framePr w:wrap="around" w:vAnchor="text" w:hAnchor="margin" w:y="702"/>
                    <w:spacing w:after="0" w:line="259" w:lineRule="auto"/>
                    <w:ind w:left="96" w:right="0" w:firstLine="0"/>
                    <w:suppressOverlap/>
                    <w:jc w:val="left"/>
                  </w:pPr>
                  <w:r>
                    <w:rPr>
                      <w:sz w:val="13"/>
                    </w:rPr>
                    <w:t xml:space="preserve">Aqueous  phase </w:t>
                  </w:r>
                </w:p>
              </w:tc>
              <w:tc>
                <w:tcPr>
                  <w:tcW w:w="1796" w:type="dxa"/>
                  <w:tcBorders>
                    <w:top w:val="nil"/>
                    <w:left w:val="nil"/>
                    <w:bottom w:val="single" w:sz="3" w:space="0" w:color="000000"/>
                    <w:right w:val="nil"/>
                  </w:tcBorders>
                </w:tcPr>
                <w:p w:rsidR="00045DC6" w:rsidRDefault="00F8691C">
                  <w:pPr>
                    <w:framePr w:wrap="around" w:vAnchor="text" w:hAnchor="margin" w:y="702"/>
                    <w:spacing w:after="0" w:line="259" w:lineRule="auto"/>
                    <w:ind w:left="127" w:right="241" w:hanging="127"/>
                    <w:suppressOverlap/>
                  </w:pPr>
                  <w:r>
                    <w:rPr>
                      <w:sz w:val="13"/>
                    </w:rPr>
                    <w:t xml:space="preserve">Poloxamer 5% Water q.s. </w:t>
                  </w:r>
                </w:p>
              </w:tc>
              <w:tc>
                <w:tcPr>
                  <w:tcW w:w="1875" w:type="dxa"/>
                  <w:tcBorders>
                    <w:top w:val="nil"/>
                    <w:left w:val="nil"/>
                    <w:bottom w:val="single" w:sz="3" w:space="0" w:color="000000"/>
                    <w:right w:val="nil"/>
                  </w:tcBorders>
                </w:tcPr>
                <w:p w:rsidR="00045DC6" w:rsidRDefault="00F8691C">
                  <w:pPr>
                    <w:framePr w:wrap="around" w:vAnchor="text" w:hAnchor="margin" w:y="702"/>
                    <w:spacing w:after="0" w:line="259" w:lineRule="auto"/>
                    <w:ind w:left="176" w:right="224" w:hanging="176"/>
                    <w:suppressOverlap/>
                  </w:pPr>
                  <w:r>
                    <w:rPr>
                      <w:sz w:val="13"/>
                    </w:rPr>
                    <w:t xml:space="preserve">Poloxamer 2.5% Water q.s. </w:t>
                  </w:r>
                </w:p>
              </w:tc>
              <w:tc>
                <w:tcPr>
                  <w:tcW w:w="1256" w:type="dxa"/>
                  <w:tcBorders>
                    <w:top w:val="nil"/>
                    <w:left w:val="nil"/>
                    <w:bottom w:val="single" w:sz="3" w:space="0" w:color="000000"/>
                    <w:right w:val="nil"/>
                  </w:tcBorders>
                </w:tcPr>
                <w:p w:rsidR="00045DC6" w:rsidRDefault="00F8691C">
                  <w:pPr>
                    <w:framePr w:wrap="around" w:vAnchor="text" w:hAnchor="margin" w:y="702"/>
                    <w:spacing w:after="0" w:line="259" w:lineRule="auto"/>
                    <w:ind w:left="147" w:right="0" w:hanging="69"/>
                    <w:suppressOverlap/>
                    <w:jc w:val="left"/>
                  </w:pPr>
                  <w:r>
                    <w:rPr>
                      <w:sz w:val="13"/>
                    </w:rPr>
                    <w:t xml:space="preserve">Tween 2.5% Water q.s. </w:t>
                  </w:r>
                </w:p>
              </w:tc>
            </w:tr>
          </w:tbl>
          <w:p w:rsidR="00045DC6" w:rsidRDefault="00F8691C">
            <w:pPr>
              <w:spacing w:after="0" w:line="259" w:lineRule="auto"/>
              <w:ind w:right="0" w:firstLine="0"/>
            </w:pPr>
            <w:r>
              <w:rPr>
                <w:sz w:val="16"/>
              </w:rPr>
              <w:t xml:space="preserve">pp: Precirol®, Poloxamer; cp: Poloxamer, Compritol®; TT: Tripalmitin, Tween 80 </w:t>
            </w:r>
          </w:p>
        </w:tc>
      </w:tr>
    </w:tbl>
    <w:p w:rsidR="00045DC6" w:rsidRDefault="00F8691C">
      <w:pPr>
        <w:spacing w:after="3" w:line="265" w:lineRule="auto"/>
        <w:ind w:left="-5" w:right="0" w:hanging="10"/>
        <w:jc w:val="left"/>
      </w:pPr>
      <w:r>
        <w:rPr>
          <w:b/>
          <w:sz w:val="16"/>
        </w:rPr>
        <w:t>Figure 1.</w:t>
      </w:r>
      <w:r>
        <w:rPr>
          <w:sz w:val="16"/>
        </w:rPr>
        <w:t xml:space="preserve"> Schematic of a solvent magnetizing apparatus (SMA) with permission (21)</w:t>
      </w:r>
    </w:p>
    <w:p w:rsidR="00045DC6" w:rsidRDefault="00F8691C">
      <w:pPr>
        <w:pStyle w:val="Heading2"/>
        <w:ind w:left="-5"/>
      </w:pPr>
      <w:r>
        <w:t>Characterization of SLN and NLC</w:t>
      </w:r>
    </w:p>
    <w:p w:rsidR="00045DC6" w:rsidRDefault="00F8691C">
      <w:pPr>
        <w:pStyle w:val="Heading3"/>
        <w:ind w:left="-5"/>
      </w:pPr>
      <w:r>
        <w:t>Particle size and zeta potential</w:t>
      </w:r>
    </w:p>
    <w:p w:rsidR="00045DC6" w:rsidRDefault="00F8691C">
      <w:pPr>
        <w:spacing w:after="183"/>
        <w:ind w:left="-15" w:right="30"/>
      </w:pPr>
      <w:r>
        <w:t xml:space="preserve">The mean particle size, the polydispersity index (PDI), </w:t>
      </w:r>
      <w:r>
        <w:t xml:space="preserve">and the zeta potential of the SLN and NLC formulations were assessed by a Dynamic Light Scattering method (ZetaSizer Nano-ZS; Malvern Instruments Ltd., United </w:t>
      </w:r>
      <w:r>
        <w:t xml:space="preserve">Kingdom). The experiments were carried out in </w:t>
      </w:r>
      <w:r>
        <w:t xml:space="preserve">triplicate at a temperature of 25±2 </w:t>
      </w:r>
      <w:r>
        <w:rPr>
          <w:sz w:val="18"/>
          <w:vertAlign w:val="superscript"/>
        </w:rPr>
        <w:t>°</w:t>
      </w:r>
      <w:r>
        <w:t>C and an angle</w:t>
      </w:r>
      <w:r>
        <w:t xml:space="preserve"> of 90 </w:t>
      </w:r>
      <w:r>
        <w:rPr>
          <w:sz w:val="18"/>
          <w:vertAlign w:val="superscript"/>
        </w:rPr>
        <w:t>⁰</w:t>
      </w:r>
      <w:r>
        <w:t xml:space="preserve"> to the incident beam (22).</w:t>
      </w:r>
    </w:p>
    <w:p w:rsidR="00045DC6" w:rsidRDefault="00F8691C">
      <w:pPr>
        <w:pStyle w:val="Heading3"/>
        <w:ind w:left="-5"/>
      </w:pPr>
      <w:r>
        <w:t>Transmission electron microscopy (TEM)</w:t>
      </w:r>
    </w:p>
    <w:p w:rsidR="00045DC6" w:rsidRDefault="00F8691C">
      <w:pPr>
        <w:spacing w:after="180" w:line="224" w:lineRule="auto"/>
        <w:ind w:left="-15" w:right="30"/>
      </w:pPr>
      <w:r>
        <w:t xml:space="preserve">To evaluate the morphology of SLN and NLC characterization, the TEM assessment was used. SLN </w:t>
      </w:r>
      <w:r>
        <w:t>and NLC were diluted 12 times with water, and then 20 μl of the sample was coated on a c</w:t>
      </w:r>
      <w:r>
        <w:t xml:space="preserve">arbon-coated copper grid. After that, 20 μl of uranyl acetate 2% in water was placed on SLN and NLC, 30 sec later, it was dried with paper filter. After drying, the sample was observed </w:t>
      </w:r>
      <w:r>
        <w:t>under an electron microscope (23, 24).</w:t>
      </w:r>
    </w:p>
    <w:p w:rsidR="00045DC6" w:rsidRDefault="00F8691C">
      <w:pPr>
        <w:pStyle w:val="Heading3"/>
        <w:ind w:left="-5"/>
      </w:pPr>
      <w:r>
        <w:t>Differential scanning calorimetry (DSC)</w:t>
      </w:r>
    </w:p>
    <w:p w:rsidR="00045DC6" w:rsidRDefault="00F8691C">
      <w:pPr>
        <w:spacing w:after="184"/>
        <w:ind w:left="-15" w:right="30"/>
      </w:pPr>
      <w:r>
        <w:t xml:space="preserve">The melting and crystallization properties of crystalline </w:t>
      </w:r>
      <w:r>
        <w:t xml:space="preserve">materials were investigated with the Mettler DSC 821 ͤ (Mettler Toledo, GieBen, Germany). The device has two </w:t>
      </w:r>
      <w:r>
        <w:t>positions for reference and sample in its aluminu</w:t>
      </w:r>
      <w:r>
        <w:t xml:space="preserve">m pans. Samples were heated up from the temperature of 25 </w:t>
      </w:r>
      <w:r>
        <w:rPr>
          <w:sz w:val="18"/>
          <w:vertAlign w:val="superscript"/>
        </w:rPr>
        <w:t>°</w:t>
      </w:r>
      <w:r>
        <w:t xml:space="preserve">C to 165 </w:t>
      </w:r>
      <w:r>
        <w:rPr>
          <w:sz w:val="18"/>
          <w:vertAlign w:val="superscript"/>
        </w:rPr>
        <w:t>°</w:t>
      </w:r>
      <w:r>
        <w:t xml:space="preserve">C (5 </w:t>
      </w:r>
      <w:r>
        <w:rPr>
          <w:sz w:val="18"/>
          <w:vertAlign w:val="superscript"/>
        </w:rPr>
        <w:t>°</w:t>
      </w:r>
      <w:r>
        <w:t xml:space="preserve">C / min) under nitrogen (5 ml /min). Then, </w:t>
      </w:r>
      <w:r>
        <w:t>the melting points of SLN and NLC formulations and bulk lipids were compared (7).</w:t>
      </w:r>
    </w:p>
    <w:p w:rsidR="00045DC6" w:rsidRDefault="00F8691C">
      <w:pPr>
        <w:pStyle w:val="Heading3"/>
        <w:ind w:left="-5"/>
      </w:pPr>
      <w:r>
        <w:t>Occlusive properties assessment</w:t>
      </w:r>
    </w:p>
    <w:p w:rsidR="00045DC6" w:rsidRDefault="00F8691C">
      <w:pPr>
        <w:spacing w:after="220" w:line="224" w:lineRule="auto"/>
        <w:ind w:left="-15" w:right="30"/>
      </w:pPr>
      <w:r>
        <w:t xml:space="preserve">The occultation amounts </w:t>
      </w:r>
      <w:r>
        <w:t xml:space="preserve">of the samples were determined by the </w:t>
      </w:r>
      <w:r>
        <w:rPr>
          <w:i/>
        </w:rPr>
        <w:t>in vitro</w:t>
      </w:r>
      <w:r>
        <w:t xml:space="preserve"> method. In this study, 39 </w:t>
      </w:r>
      <w:r>
        <w:t xml:space="preserve">numbers of 100 mL beakers of 100 ml each, were filled with 50 ml of water and covered with a sodium acetate filter (cut-off size: 4 to 7 µm). Then, the amount of 13.3 mg /cm² of each </w:t>
      </w:r>
      <w:r>
        <w:t xml:space="preserve">of the SLN and NLC samples werewas spread completely on the filter surface. All samples were incubated at 32 °C and 50- –55% relative hydration (RH) and 10% CO₂ for 48 hr. After 24 hr and 48 hr, the weights </w:t>
      </w:r>
      <w:r>
        <w:t>of beakers were recorded.</w:t>
      </w:r>
    </w:p>
    <w:p w:rsidR="00045DC6" w:rsidRDefault="00F8691C">
      <w:pPr>
        <w:spacing w:after="30" w:line="224" w:lineRule="auto"/>
        <w:ind w:left="227" w:right="30" w:firstLine="0"/>
      </w:pPr>
      <w:r>
        <w:t xml:space="preserve">(Eq. 1)                </w:t>
      </w:r>
      <w:r>
        <w:t xml:space="preserve">        F=100((A-B)/A)</w:t>
      </w:r>
    </w:p>
    <w:p w:rsidR="00045DC6" w:rsidRDefault="00F8691C">
      <w:pPr>
        <w:ind w:left="-15" w:right="30"/>
      </w:pPr>
      <w:r>
        <w:t>A: The amount of water loss without the sample (as references)</w:t>
      </w:r>
    </w:p>
    <w:p w:rsidR="00045DC6" w:rsidRDefault="00F8691C">
      <w:pPr>
        <w:spacing w:after="3" w:line="224" w:lineRule="auto"/>
        <w:ind w:left="227" w:right="699" w:firstLine="0"/>
      </w:pPr>
      <w:r>
        <w:t xml:space="preserve">B: The amount of water loss with the sample </w:t>
      </w:r>
      <w:r>
        <w:t>F: Occlusive factor percentage (18, 25).</w:t>
      </w:r>
    </w:p>
    <w:p w:rsidR="00045DC6" w:rsidRDefault="00F8691C">
      <w:pPr>
        <w:pStyle w:val="Heading3"/>
        <w:ind w:left="-5"/>
      </w:pPr>
      <w:r>
        <w:t>Skin hydration measurement using corneometer</w:t>
      </w:r>
    </w:p>
    <w:p w:rsidR="00045DC6" w:rsidRDefault="00F8691C">
      <w:pPr>
        <w:spacing w:after="163"/>
        <w:ind w:left="-15" w:right="30"/>
      </w:pPr>
      <w:r>
        <w:t>A corneometer (Courage, Khazaka, Cologne</w:t>
      </w:r>
      <w:r>
        <w:t xml:space="preserve">, Germany) was used to measure the moisture content of the skin after using different formulations of SLN and </w:t>
      </w:r>
      <w:r>
        <w:t xml:space="preserve">NLC; the test was performed on   six  volunteers with </w:t>
      </w:r>
      <w:r>
        <w:t xml:space="preserve">normal skin under normal environmental conditions </w:t>
      </w:r>
      <w:r>
        <w:t xml:space="preserve">in the age range of 20–30 years (16, 26). </w:t>
      </w:r>
      <w:r>
        <w:t xml:space="preserve">They were </w:t>
      </w:r>
      <w:r>
        <w:t xml:space="preserve">asked to refrain from using any product on the test site one week before the test, also during the study period they were not under direct sunlight or lamps. </w:t>
      </w:r>
      <w:r>
        <w:t>All measurements were performed on a specific area of the skin. Before the topical appli</w:t>
      </w:r>
      <w:r>
        <w:t xml:space="preserve">cation (time zero), skin moisture content was measured. Then at 0.5, 1, 3, and 5 </w:t>
      </w:r>
      <w:r>
        <w:t xml:space="preserve">hr after application, the moisture content was measured at three different points. The results were obtained as </w:t>
      </w:r>
      <w:r>
        <w:t xml:space="preserve">an average of three reported data (27). All experimental </w:t>
      </w:r>
      <w:r>
        <w:t>protoc</w:t>
      </w:r>
      <w:r>
        <w:t>ols were approved by the Ethical Committee of Mashhad University of Medical Sciences (approval number: IR. mums. sp.1395.85)</w:t>
      </w:r>
    </w:p>
    <w:p w:rsidR="00045DC6" w:rsidRDefault="00F8691C">
      <w:pPr>
        <w:pStyle w:val="Heading2"/>
        <w:ind w:left="-5"/>
      </w:pPr>
      <w:r>
        <w:t>Data analysis</w:t>
      </w:r>
    </w:p>
    <w:p w:rsidR="00045DC6" w:rsidRDefault="00F8691C">
      <w:pPr>
        <w:spacing w:after="263"/>
        <w:ind w:left="-15" w:right="30"/>
      </w:pPr>
      <w:r>
        <w:t xml:space="preserve">Data were analyzed using the Prism software package. The results were compared based on one-way ANOVA and Turkey’s multiple comparison tests. </w:t>
      </w:r>
      <w:r>
        <w:rPr>
          <w:i/>
        </w:rPr>
        <w:t>P</w:t>
      </w:r>
      <w:r>
        <w:t>&lt;0.05 was considered statistically significant.</w:t>
      </w:r>
    </w:p>
    <w:p w:rsidR="00045DC6" w:rsidRDefault="00F8691C">
      <w:pPr>
        <w:pStyle w:val="Heading1"/>
        <w:spacing w:before="0"/>
        <w:ind w:left="-5"/>
      </w:pPr>
      <w:r>
        <w:t>Results</w:t>
      </w:r>
    </w:p>
    <w:p w:rsidR="00045DC6" w:rsidRDefault="00F8691C">
      <w:pPr>
        <w:ind w:left="-15" w:right="30"/>
      </w:pPr>
      <w:r>
        <w:t xml:space="preserve">Six SLN and six NLC formulations were prepared with </w:t>
      </w:r>
      <w:r>
        <w:t>high-</w:t>
      </w:r>
      <w:r>
        <w:t xml:space="preserve">shear homogenization and ultrasound method. The lipid and surfactant (type and concentration), type </w:t>
      </w:r>
      <w:r>
        <w:t xml:space="preserve">of water, and lipid/surfactant ratio were differential </w:t>
      </w:r>
      <w:r>
        <w:t xml:space="preserve">parameters for SLN and NLC preparations. </w:t>
      </w:r>
    </w:p>
    <w:p w:rsidR="00045DC6" w:rsidRDefault="00F8691C">
      <w:pPr>
        <w:ind w:left="-15" w:right="30"/>
      </w:pPr>
      <w:r>
        <w:t>The mean diameter (z-average), PDI, and zeta potential of d</w:t>
      </w:r>
      <w:r>
        <w:t xml:space="preserve">ifferent SLN and NLC formulations prepared with deionized water and magnetized water were measured by PSA (Table 3). </w:t>
      </w:r>
    </w:p>
    <w:p w:rsidR="00045DC6" w:rsidRDefault="00F8691C">
      <w:pPr>
        <w:spacing w:after="3" w:line="224" w:lineRule="auto"/>
        <w:ind w:left="-15" w:right="30"/>
      </w:pPr>
      <w:r>
        <w:t xml:space="preserve">Data were expressed as mean± SD (n=3); statistical significance difference with NLC-pp, NLC-pp MAG, </w:t>
      </w:r>
      <w:r>
        <w:t>SLN-tt, and SLN-tt MAG was observed (</w:t>
      </w:r>
      <w:r>
        <w:rPr>
          <w:i/>
        </w:rPr>
        <w:t>P</w:t>
      </w:r>
      <w:r>
        <w:t xml:space="preserve">&lt;0.001). SLN </w:t>
      </w:r>
      <w:r>
        <w:t xml:space="preserve">and NLC with Precirol® and Tripalmitin lipids had a </w:t>
      </w:r>
      <w:r>
        <w:t xml:space="preserve">significantly smaller size than Compritol® lipid. </w:t>
      </w:r>
    </w:p>
    <w:p w:rsidR="00045DC6" w:rsidRDefault="00F8691C">
      <w:pPr>
        <w:ind w:left="-15" w:right="30"/>
      </w:pPr>
      <w:r>
        <w:t>The TEM imaging of SLN and NLC formulations with magnetized water was smaller, more spherical shaped, non-follicular, and more homogeneous (</w:t>
      </w:r>
      <w:r>
        <w:t xml:space="preserve">Figure 2). </w:t>
      </w:r>
    </w:p>
    <w:p w:rsidR="00045DC6" w:rsidRDefault="00F8691C">
      <w:pPr>
        <w:ind w:left="-15" w:right="30"/>
      </w:pPr>
      <w:r>
        <w:t xml:space="preserve">DSC analyses of SLN and NLC were evaluated to determine the crystallinity of the formulations. SLN </w:t>
      </w:r>
    </w:p>
    <w:p w:rsidR="00045DC6" w:rsidRDefault="00045DC6">
      <w:pPr>
        <w:sectPr w:rsidR="00045DC6">
          <w:type w:val="continuous"/>
          <w:pgSz w:w="11906" w:h="16838"/>
          <w:pgMar w:top="1417" w:right="1020" w:bottom="1347" w:left="1020" w:header="720" w:footer="720" w:gutter="0"/>
          <w:cols w:num="2" w:space="350"/>
        </w:sectPr>
      </w:pPr>
    </w:p>
    <w:p w:rsidR="00045DC6" w:rsidRDefault="00F8691C">
      <w:pPr>
        <w:spacing w:after="3" w:line="265" w:lineRule="auto"/>
        <w:ind w:left="-5" w:right="0" w:hanging="10"/>
        <w:jc w:val="left"/>
      </w:pPr>
      <w:r>
        <w:rPr>
          <w:b/>
          <w:sz w:val="16"/>
        </w:rPr>
        <w:t>Table 3.</w:t>
      </w:r>
      <w:r>
        <w:rPr>
          <w:sz w:val="16"/>
        </w:rPr>
        <w:t xml:space="preserve"> The mean diameter (z-average), PDI, and zeta potential of the various formulations</w:t>
      </w:r>
    </w:p>
    <w:tbl>
      <w:tblPr>
        <w:tblStyle w:val="TableGrid"/>
        <w:tblW w:w="6934" w:type="dxa"/>
        <w:tblInd w:w="1510" w:type="dxa"/>
        <w:tblCellMar>
          <w:top w:w="23" w:type="dxa"/>
          <w:left w:w="0" w:type="dxa"/>
          <w:bottom w:w="0" w:type="dxa"/>
          <w:right w:w="115" w:type="dxa"/>
        </w:tblCellMar>
        <w:tblLook w:val="04A0" w:firstRow="1" w:lastRow="0" w:firstColumn="1" w:lastColumn="0" w:noHBand="0" w:noVBand="1"/>
      </w:tblPr>
      <w:tblGrid>
        <w:gridCol w:w="1999"/>
        <w:gridCol w:w="2054"/>
        <w:gridCol w:w="1427"/>
        <w:gridCol w:w="1454"/>
      </w:tblGrid>
      <w:tr w:rsidR="00045DC6">
        <w:trPr>
          <w:trHeight w:val="215"/>
        </w:trPr>
        <w:tc>
          <w:tcPr>
            <w:tcW w:w="1999" w:type="dxa"/>
            <w:tcBorders>
              <w:top w:val="single" w:sz="3" w:space="0" w:color="000000"/>
              <w:left w:val="nil"/>
              <w:bottom w:val="single" w:sz="3" w:space="0" w:color="000000"/>
              <w:right w:val="nil"/>
            </w:tcBorders>
          </w:tcPr>
          <w:p w:rsidR="00045DC6" w:rsidRDefault="00F8691C">
            <w:pPr>
              <w:spacing w:after="0" w:line="259" w:lineRule="auto"/>
              <w:ind w:left="91" w:right="0" w:firstLine="0"/>
              <w:jc w:val="left"/>
            </w:pPr>
            <w:r>
              <w:rPr>
                <w:sz w:val="12"/>
              </w:rPr>
              <w:t xml:space="preserve">Formulation </w:t>
            </w:r>
          </w:p>
        </w:tc>
        <w:tc>
          <w:tcPr>
            <w:tcW w:w="2054" w:type="dxa"/>
            <w:tcBorders>
              <w:top w:val="single" w:sz="3" w:space="0" w:color="000000"/>
              <w:left w:val="nil"/>
              <w:bottom w:val="single" w:sz="3" w:space="0" w:color="000000"/>
              <w:right w:val="nil"/>
            </w:tcBorders>
          </w:tcPr>
          <w:p w:rsidR="00045DC6" w:rsidRDefault="00F8691C">
            <w:pPr>
              <w:spacing w:after="0" w:line="259" w:lineRule="auto"/>
              <w:ind w:right="0" w:firstLine="0"/>
              <w:jc w:val="left"/>
            </w:pPr>
            <w:r>
              <w:rPr>
                <w:sz w:val="12"/>
              </w:rPr>
              <w:t>z-average size (nm)</w:t>
            </w:r>
            <w:r>
              <w:rPr>
                <w:sz w:val="12"/>
              </w:rPr>
              <w:t xml:space="preserve">± SD </w:t>
            </w:r>
          </w:p>
        </w:tc>
        <w:tc>
          <w:tcPr>
            <w:tcW w:w="1427" w:type="dxa"/>
            <w:tcBorders>
              <w:top w:val="single" w:sz="3" w:space="0" w:color="000000"/>
              <w:left w:val="nil"/>
              <w:bottom w:val="single" w:sz="3" w:space="0" w:color="000000"/>
              <w:right w:val="nil"/>
            </w:tcBorders>
          </w:tcPr>
          <w:p w:rsidR="00045DC6" w:rsidRDefault="00F8691C">
            <w:pPr>
              <w:spacing w:after="0" w:line="259" w:lineRule="auto"/>
              <w:ind w:left="80" w:right="0" w:firstLine="0"/>
              <w:jc w:val="left"/>
            </w:pPr>
            <w:r>
              <w:rPr>
                <w:sz w:val="12"/>
              </w:rPr>
              <w:t xml:space="preserve">PDI ±SD </w:t>
            </w:r>
          </w:p>
        </w:tc>
        <w:tc>
          <w:tcPr>
            <w:tcW w:w="1454" w:type="dxa"/>
            <w:tcBorders>
              <w:top w:val="single" w:sz="3" w:space="0" w:color="000000"/>
              <w:left w:val="nil"/>
              <w:bottom w:val="single" w:sz="3" w:space="0" w:color="000000"/>
              <w:right w:val="nil"/>
            </w:tcBorders>
          </w:tcPr>
          <w:p w:rsidR="00045DC6" w:rsidRDefault="00F8691C">
            <w:pPr>
              <w:spacing w:after="0" w:line="259" w:lineRule="auto"/>
              <w:ind w:right="0" w:firstLine="0"/>
              <w:jc w:val="left"/>
            </w:pPr>
            <w:r>
              <w:rPr>
                <w:sz w:val="12"/>
              </w:rPr>
              <w:t xml:space="preserve">zeta potential (mV)±SD </w:t>
            </w:r>
          </w:p>
        </w:tc>
      </w:tr>
      <w:tr w:rsidR="00045DC6">
        <w:trPr>
          <w:trHeight w:val="188"/>
        </w:trPr>
        <w:tc>
          <w:tcPr>
            <w:tcW w:w="1999" w:type="dxa"/>
            <w:tcBorders>
              <w:top w:val="single" w:sz="3" w:space="0" w:color="000000"/>
              <w:left w:val="nil"/>
              <w:bottom w:val="nil"/>
              <w:right w:val="nil"/>
            </w:tcBorders>
          </w:tcPr>
          <w:p w:rsidR="00045DC6" w:rsidRDefault="00F8691C">
            <w:pPr>
              <w:spacing w:after="0" w:line="259" w:lineRule="auto"/>
              <w:ind w:left="91" w:right="0" w:firstLine="0"/>
              <w:jc w:val="left"/>
            </w:pPr>
            <w:r>
              <w:rPr>
                <w:sz w:val="12"/>
              </w:rPr>
              <w:t xml:space="preserve">SLN-pp </w:t>
            </w:r>
          </w:p>
        </w:tc>
        <w:tc>
          <w:tcPr>
            <w:tcW w:w="2054" w:type="dxa"/>
            <w:tcBorders>
              <w:top w:val="single" w:sz="3" w:space="0" w:color="000000"/>
              <w:left w:val="nil"/>
              <w:bottom w:val="nil"/>
              <w:right w:val="nil"/>
            </w:tcBorders>
          </w:tcPr>
          <w:p w:rsidR="00045DC6" w:rsidRDefault="00F8691C">
            <w:pPr>
              <w:spacing w:after="0" w:line="259" w:lineRule="auto"/>
              <w:ind w:left="357" w:right="0" w:firstLine="0"/>
              <w:jc w:val="left"/>
            </w:pPr>
            <w:r>
              <w:rPr>
                <w:sz w:val="12"/>
              </w:rPr>
              <w:t xml:space="preserve">132.4±2.1 </w:t>
            </w:r>
          </w:p>
        </w:tc>
        <w:tc>
          <w:tcPr>
            <w:tcW w:w="1427" w:type="dxa"/>
            <w:tcBorders>
              <w:top w:val="single" w:sz="3" w:space="0" w:color="000000"/>
              <w:left w:val="nil"/>
              <w:bottom w:val="nil"/>
              <w:right w:val="nil"/>
            </w:tcBorders>
          </w:tcPr>
          <w:p w:rsidR="00045DC6" w:rsidRDefault="00F8691C">
            <w:pPr>
              <w:spacing w:after="0" w:line="259" w:lineRule="auto"/>
              <w:ind w:right="0" w:firstLine="0"/>
              <w:jc w:val="left"/>
            </w:pPr>
            <w:r>
              <w:rPr>
                <w:sz w:val="12"/>
              </w:rPr>
              <w:t xml:space="preserve">0.220±0.02 </w:t>
            </w:r>
          </w:p>
        </w:tc>
        <w:tc>
          <w:tcPr>
            <w:tcW w:w="1454" w:type="dxa"/>
            <w:tcBorders>
              <w:top w:val="single" w:sz="3" w:space="0" w:color="000000"/>
              <w:left w:val="nil"/>
              <w:bottom w:val="nil"/>
              <w:right w:val="nil"/>
            </w:tcBorders>
          </w:tcPr>
          <w:p w:rsidR="00045DC6" w:rsidRDefault="00F8691C">
            <w:pPr>
              <w:spacing w:after="0" w:line="259" w:lineRule="auto"/>
              <w:ind w:left="350" w:right="0" w:firstLine="0"/>
              <w:jc w:val="left"/>
            </w:pPr>
            <w:r>
              <w:rPr>
                <w:sz w:val="12"/>
              </w:rPr>
              <w:t xml:space="preserve">-25.5±0.6 </w:t>
            </w:r>
          </w:p>
        </w:tc>
      </w:tr>
      <w:tr w:rsidR="00045DC6">
        <w:trPr>
          <w:trHeight w:val="208"/>
        </w:trPr>
        <w:tc>
          <w:tcPr>
            <w:tcW w:w="1999" w:type="dxa"/>
            <w:tcBorders>
              <w:top w:val="nil"/>
              <w:left w:val="nil"/>
              <w:bottom w:val="nil"/>
              <w:right w:val="nil"/>
            </w:tcBorders>
          </w:tcPr>
          <w:p w:rsidR="00045DC6" w:rsidRDefault="00F8691C">
            <w:pPr>
              <w:spacing w:after="0" w:line="259" w:lineRule="auto"/>
              <w:ind w:left="91" w:right="0" w:firstLine="0"/>
              <w:jc w:val="left"/>
            </w:pPr>
            <w:r>
              <w:rPr>
                <w:sz w:val="12"/>
              </w:rPr>
              <w:t xml:space="preserve">SLN-pp MAG </w:t>
            </w:r>
          </w:p>
        </w:tc>
        <w:tc>
          <w:tcPr>
            <w:tcW w:w="2054" w:type="dxa"/>
            <w:tcBorders>
              <w:top w:val="nil"/>
              <w:left w:val="nil"/>
              <w:bottom w:val="nil"/>
              <w:right w:val="nil"/>
            </w:tcBorders>
          </w:tcPr>
          <w:p w:rsidR="00045DC6" w:rsidRDefault="00F8691C">
            <w:pPr>
              <w:spacing w:after="0" w:line="259" w:lineRule="auto"/>
              <w:ind w:left="357" w:right="0" w:firstLine="0"/>
              <w:jc w:val="left"/>
            </w:pPr>
            <w:r>
              <w:rPr>
                <w:sz w:val="12"/>
              </w:rPr>
              <w:t xml:space="preserve">130.6±2.8 </w:t>
            </w:r>
          </w:p>
        </w:tc>
        <w:tc>
          <w:tcPr>
            <w:tcW w:w="1427" w:type="dxa"/>
            <w:tcBorders>
              <w:top w:val="nil"/>
              <w:left w:val="nil"/>
              <w:bottom w:val="nil"/>
              <w:right w:val="nil"/>
            </w:tcBorders>
          </w:tcPr>
          <w:p w:rsidR="00045DC6" w:rsidRDefault="00F8691C">
            <w:pPr>
              <w:spacing w:after="0" w:line="259" w:lineRule="auto"/>
              <w:ind w:right="0" w:firstLine="0"/>
              <w:jc w:val="left"/>
            </w:pPr>
            <w:r>
              <w:rPr>
                <w:sz w:val="12"/>
              </w:rPr>
              <w:t xml:space="preserve">0.223±0.02 </w:t>
            </w:r>
          </w:p>
        </w:tc>
        <w:tc>
          <w:tcPr>
            <w:tcW w:w="1454" w:type="dxa"/>
            <w:tcBorders>
              <w:top w:val="nil"/>
              <w:left w:val="nil"/>
              <w:bottom w:val="nil"/>
              <w:right w:val="nil"/>
            </w:tcBorders>
          </w:tcPr>
          <w:p w:rsidR="00045DC6" w:rsidRDefault="00F8691C">
            <w:pPr>
              <w:spacing w:after="0" w:line="259" w:lineRule="auto"/>
              <w:ind w:left="350" w:right="0" w:firstLine="0"/>
              <w:jc w:val="left"/>
            </w:pPr>
            <w:r>
              <w:rPr>
                <w:sz w:val="12"/>
              </w:rPr>
              <w:t xml:space="preserve">-18.1±0.9 </w:t>
            </w:r>
          </w:p>
        </w:tc>
      </w:tr>
      <w:tr w:rsidR="00045DC6">
        <w:trPr>
          <w:trHeight w:val="208"/>
        </w:trPr>
        <w:tc>
          <w:tcPr>
            <w:tcW w:w="1999" w:type="dxa"/>
            <w:tcBorders>
              <w:top w:val="nil"/>
              <w:left w:val="nil"/>
              <w:bottom w:val="nil"/>
              <w:right w:val="nil"/>
            </w:tcBorders>
          </w:tcPr>
          <w:p w:rsidR="00045DC6" w:rsidRDefault="00F8691C">
            <w:pPr>
              <w:spacing w:after="0" w:line="259" w:lineRule="auto"/>
              <w:ind w:left="91" w:right="0" w:firstLine="0"/>
              <w:jc w:val="left"/>
            </w:pPr>
            <w:r>
              <w:rPr>
                <w:sz w:val="12"/>
              </w:rPr>
              <w:t xml:space="preserve">NLC-pp </w:t>
            </w:r>
          </w:p>
        </w:tc>
        <w:tc>
          <w:tcPr>
            <w:tcW w:w="2054" w:type="dxa"/>
            <w:tcBorders>
              <w:top w:val="nil"/>
              <w:left w:val="nil"/>
              <w:bottom w:val="nil"/>
              <w:right w:val="nil"/>
            </w:tcBorders>
          </w:tcPr>
          <w:p w:rsidR="00045DC6" w:rsidRDefault="00F8691C">
            <w:pPr>
              <w:spacing w:after="0" w:line="259" w:lineRule="auto"/>
              <w:ind w:left="357" w:right="0" w:firstLine="0"/>
              <w:jc w:val="left"/>
            </w:pPr>
            <w:r>
              <w:rPr>
                <w:sz w:val="12"/>
              </w:rPr>
              <w:t xml:space="preserve">113.8±3.3 </w:t>
            </w:r>
          </w:p>
        </w:tc>
        <w:tc>
          <w:tcPr>
            <w:tcW w:w="1427" w:type="dxa"/>
            <w:tcBorders>
              <w:top w:val="nil"/>
              <w:left w:val="nil"/>
              <w:bottom w:val="nil"/>
              <w:right w:val="nil"/>
            </w:tcBorders>
          </w:tcPr>
          <w:p w:rsidR="00045DC6" w:rsidRDefault="00F8691C">
            <w:pPr>
              <w:spacing w:after="0" w:line="259" w:lineRule="auto"/>
              <w:ind w:right="0" w:firstLine="0"/>
              <w:jc w:val="left"/>
            </w:pPr>
            <w:r>
              <w:rPr>
                <w:sz w:val="12"/>
              </w:rPr>
              <w:t xml:space="preserve">0.162±0.00 </w:t>
            </w:r>
          </w:p>
        </w:tc>
        <w:tc>
          <w:tcPr>
            <w:tcW w:w="1454" w:type="dxa"/>
            <w:tcBorders>
              <w:top w:val="nil"/>
              <w:left w:val="nil"/>
              <w:bottom w:val="nil"/>
              <w:right w:val="nil"/>
            </w:tcBorders>
          </w:tcPr>
          <w:p w:rsidR="00045DC6" w:rsidRDefault="00F8691C">
            <w:pPr>
              <w:spacing w:after="0" w:line="259" w:lineRule="auto"/>
              <w:ind w:left="350" w:right="0" w:firstLine="0"/>
              <w:jc w:val="left"/>
            </w:pPr>
            <w:r>
              <w:rPr>
                <w:sz w:val="12"/>
              </w:rPr>
              <w:t xml:space="preserve">-15.9±2.1 </w:t>
            </w:r>
          </w:p>
        </w:tc>
      </w:tr>
      <w:tr w:rsidR="00045DC6">
        <w:trPr>
          <w:trHeight w:val="209"/>
        </w:trPr>
        <w:tc>
          <w:tcPr>
            <w:tcW w:w="1999" w:type="dxa"/>
            <w:tcBorders>
              <w:top w:val="nil"/>
              <w:left w:val="nil"/>
              <w:bottom w:val="nil"/>
              <w:right w:val="nil"/>
            </w:tcBorders>
          </w:tcPr>
          <w:p w:rsidR="00045DC6" w:rsidRDefault="00F8691C">
            <w:pPr>
              <w:spacing w:after="0" w:line="259" w:lineRule="auto"/>
              <w:ind w:left="91" w:right="0" w:firstLine="0"/>
              <w:jc w:val="left"/>
            </w:pPr>
            <w:r>
              <w:rPr>
                <w:sz w:val="12"/>
              </w:rPr>
              <w:t xml:space="preserve">NLC-pp MAG </w:t>
            </w:r>
          </w:p>
        </w:tc>
        <w:tc>
          <w:tcPr>
            <w:tcW w:w="2054" w:type="dxa"/>
            <w:tcBorders>
              <w:top w:val="nil"/>
              <w:left w:val="nil"/>
              <w:bottom w:val="nil"/>
              <w:right w:val="nil"/>
            </w:tcBorders>
          </w:tcPr>
          <w:p w:rsidR="00045DC6" w:rsidRDefault="00F8691C">
            <w:pPr>
              <w:spacing w:after="0" w:line="259" w:lineRule="auto"/>
              <w:ind w:left="357" w:right="0" w:firstLine="0"/>
              <w:jc w:val="left"/>
            </w:pPr>
            <w:r>
              <w:rPr>
                <w:sz w:val="12"/>
              </w:rPr>
              <w:t xml:space="preserve">101.1±2.1 </w:t>
            </w:r>
          </w:p>
        </w:tc>
        <w:tc>
          <w:tcPr>
            <w:tcW w:w="1427" w:type="dxa"/>
            <w:tcBorders>
              <w:top w:val="nil"/>
              <w:left w:val="nil"/>
              <w:bottom w:val="nil"/>
              <w:right w:val="nil"/>
            </w:tcBorders>
          </w:tcPr>
          <w:p w:rsidR="00045DC6" w:rsidRDefault="00F8691C">
            <w:pPr>
              <w:spacing w:after="0" w:line="259" w:lineRule="auto"/>
              <w:ind w:right="0" w:firstLine="0"/>
              <w:jc w:val="left"/>
            </w:pPr>
            <w:r>
              <w:rPr>
                <w:sz w:val="12"/>
              </w:rPr>
              <w:t xml:space="preserve">0.111±0.02 </w:t>
            </w:r>
          </w:p>
        </w:tc>
        <w:tc>
          <w:tcPr>
            <w:tcW w:w="1454" w:type="dxa"/>
            <w:tcBorders>
              <w:top w:val="nil"/>
              <w:left w:val="nil"/>
              <w:bottom w:val="nil"/>
              <w:right w:val="nil"/>
            </w:tcBorders>
          </w:tcPr>
          <w:p w:rsidR="00045DC6" w:rsidRDefault="00F8691C">
            <w:pPr>
              <w:spacing w:after="0" w:line="259" w:lineRule="auto"/>
              <w:ind w:left="350" w:right="0" w:firstLine="0"/>
              <w:jc w:val="left"/>
            </w:pPr>
            <w:r>
              <w:rPr>
                <w:sz w:val="12"/>
              </w:rPr>
              <w:t xml:space="preserve">-18.3±1.3 </w:t>
            </w:r>
          </w:p>
        </w:tc>
      </w:tr>
      <w:tr w:rsidR="00045DC6">
        <w:trPr>
          <w:trHeight w:val="209"/>
        </w:trPr>
        <w:tc>
          <w:tcPr>
            <w:tcW w:w="1999" w:type="dxa"/>
            <w:tcBorders>
              <w:top w:val="nil"/>
              <w:left w:val="nil"/>
              <w:bottom w:val="nil"/>
              <w:right w:val="nil"/>
            </w:tcBorders>
          </w:tcPr>
          <w:p w:rsidR="00045DC6" w:rsidRDefault="00F8691C">
            <w:pPr>
              <w:spacing w:after="0" w:line="259" w:lineRule="auto"/>
              <w:ind w:left="91" w:right="0" w:firstLine="0"/>
              <w:jc w:val="left"/>
            </w:pPr>
            <w:r>
              <w:rPr>
                <w:sz w:val="12"/>
              </w:rPr>
              <w:t xml:space="preserve">SLN-cp </w:t>
            </w:r>
          </w:p>
        </w:tc>
        <w:tc>
          <w:tcPr>
            <w:tcW w:w="2054" w:type="dxa"/>
            <w:tcBorders>
              <w:top w:val="nil"/>
              <w:left w:val="nil"/>
              <w:bottom w:val="nil"/>
              <w:right w:val="nil"/>
            </w:tcBorders>
          </w:tcPr>
          <w:p w:rsidR="00045DC6" w:rsidRDefault="00F8691C">
            <w:pPr>
              <w:spacing w:after="0" w:line="259" w:lineRule="auto"/>
              <w:ind w:left="357" w:right="0" w:firstLine="0"/>
              <w:jc w:val="left"/>
            </w:pPr>
            <w:r>
              <w:rPr>
                <w:sz w:val="12"/>
              </w:rPr>
              <w:t xml:space="preserve">161.2±2.3 </w:t>
            </w:r>
          </w:p>
        </w:tc>
        <w:tc>
          <w:tcPr>
            <w:tcW w:w="1427" w:type="dxa"/>
            <w:tcBorders>
              <w:top w:val="nil"/>
              <w:left w:val="nil"/>
              <w:bottom w:val="nil"/>
              <w:right w:val="nil"/>
            </w:tcBorders>
          </w:tcPr>
          <w:p w:rsidR="00045DC6" w:rsidRDefault="00F8691C">
            <w:pPr>
              <w:spacing w:after="0" w:line="259" w:lineRule="auto"/>
              <w:ind w:right="0" w:firstLine="0"/>
              <w:jc w:val="left"/>
            </w:pPr>
            <w:r>
              <w:rPr>
                <w:sz w:val="12"/>
              </w:rPr>
              <w:t xml:space="preserve">0.256±0.00 </w:t>
            </w:r>
          </w:p>
        </w:tc>
        <w:tc>
          <w:tcPr>
            <w:tcW w:w="1454" w:type="dxa"/>
            <w:tcBorders>
              <w:top w:val="nil"/>
              <w:left w:val="nil"/>
              <w:bottom w:val="nil"/>
              <w:right w:val="nil"/>
            </w:tcBorders>
          </w:tcPr>
          <w:p w:rsidR="00045DC6" w:rsidRDefault="00F8691C">
            <w:pPr>
              <w:spacing w:after="0" w:line="259" w:lineRule="auto"/>
              <w:ind w:left="350" w:right="0" w:firstLine="0"/>
              <w:jc w:val="left"/>
            </w:pPr>
            <w:r>
              <w:rPr>
                <w:sz w:val="12"/>
              </w:rPr>
              <w:t>-</w:t>
            </w:r>
            <w:r>
              <w:rPr>
                <w:sz w:val="12"/>
              </w:rPr>
              <w:t xml:space="preserve">28.3±0.9 </w:t>
            </w:r>
          </w:p>
        </w:tc>
      </w:tr>
      <w:tr w:rsidR="00045DC6">
        <w:trPr>
          <w:trHeight w:val="208"/>
        </w:trPr>
        <w:tc>
          <w:tcPr>
            <w:tcW w:w="1999" w:type="dxa"/>
            <w:tcBorders>
              <w:top w:val="nil"/>
              <w:left w:val="nil"/>
              <w:bottom w:val="nil"/>
              <w:right w:val="nil"/>
            </w:tcBorders>
          </w:tcPr>
          <w:p w:rsidR="00045DC6" w:rsidRDefault="00F8691C">
            <w:pPr>
              <w:spacing w:after="0" w:line="259" w:lineRule="auto"/>
              <w:ind w:left="91" w:right="0" w:firstLine="0"/>
              <w:jc w:val="left"/>
            </w:pPr>
            <w:r>
              <w:rPr>
                <w:sz w:val="12"/>
              </w:rPr>
              <w:t xml:space="preserve">SLN-cp MAG </w:t>
            </w:r>
          </w:p>
        </w:tc>
        <w:tc>
          <w:tcPr>
            <w:tcW w:w="2054" w:type="dxa"/>
            <w:tcBorders>
              <w:top w:val="nil"/>
              <w:left w:val="nil"/>
              <w:bottom w:val="nil"/>
              <w:right w:val="nil"/>
            </w:tcBorders>
          </w:tcPr>
          <w:p w:rsidR="00045DC6" w:rsidRDefault="00F8691C">
            <w:pPr>
              <w:spacing w:after="0" w:line="259" w:lineRule="auto"/>
              <w:ind w:left="357" w:right="0" w:firstLine="0"/>
              <w:jc w:val="left"/>
            </w:pPr>
            <w:r>
              <w:rPr>
                <w:sz w:val="12"/>
              </w:rPr>
              <w:t xml:space="preserve">152.9±2.8 </w:t>
            </w:r>
          </w:p>
        </w:tc>
        <w:tc>
          <w:tcPr>
            <w:tcW w:w="1427" w:type="dxa"/>
            <w:tcBorders>
              <w:top w:val="nil"/>
              <w:left w:val="nil"/>
              <w:bottom w:val="nil"/>
              <w:right w:val="nil"/>
            </w:tcBorders>
          </w:tcPr>
          <w:p w:rsidR="00045DC6" w:rsidRDefault="00F8691C">
            <w:pPr>
              <w:spacing w:after="0" w:line="259" w:lineRule="auto"/>
              <w:ind w:right="0" w:firstLine="0"/>
              <w:jc w:val="left"/>
            </w:pPr>
            <w:r>
              <w:rPr>
                <w:sz w:val="12"/>
              </w:rPr>
              <w:t xml:space="preserve">0.244±0.01 </w:t>
            </w:r>
          </w:p>
        </w:tc>
        <w:tc>
          <w:tcPr>
            <w:tcW w:w="1454" w:type="dxa"/>
            <w:tcBorders>
              <w:top w:val="nil"/>
              <w:left w:val="nil"/>
              <w:bottom w:val="nil"/>
              <w:right w:val="nil"/>
            </w:tcBorders>
          </w:tcPr>
          <w:p w:rsidR="00045DC6" w:rsidRDefault="00F8691C">
            <w:pPr>
              <w:spacing w:after="0" w:line="259" w:lineRule="auto"/>
              <w:ind w:left="350" w:right="0" w:firstLine="0"/>
              <w:jc w:val="left"/>
            </w:pPr>
            <w:r>
              <w:rPr>
                <w:sz w:val="12"/>
              </w:rPr>
              <w:t xml:space="preserve">-29.3±1.3 </w:t>
            </w:r>
          </w:p>
        </w:tc>
      </w:tr>
      <w:tr w:rsidR="00045DC6">
        <w:trPr>
          <w:trHeight w:val="208"/>
        </w:trPr>
        <w:tc>
          <w:tcPr>
            <w:tcW w:w="1999" w:type="dxa"/>
            <w:tcBorders>
              <w:top w:val="nil"/>
              <w:left w:val="nil"/>
              <w:bottom w:val="nil"/>
              <w:right w:val="nil"/>
            </w:tcBorders>
          </w:tcPr>
          <w:p w:rsidR="00045DC6" w:rsidRDefault="00F8691C">
            <w:pPr>
              <w:spacing w:after="0" w:line="259" w:lineRule="auto"/>
              <w:ind w:left="91" w:right="0" w:firstLine="0"/>
              <w:jc w:val="left"/>
            </w:pPr>
            <w:r>
              <w:rPr>
                <w:sz w:val="12"/>
              </w:rPr>
              <w:t xml:space="preserve">NLC-cp </w:t>
            </w:r>
          </w:p>
        </w:tc>
        <w:tc>
          <w:tcPr>
            <w:tcW w:w="2054" w:type="dxa"/>
            <w:tcBorders>
              <w:top w:val="nil"/>
              <w:left w:val="nil"/>
              <w:bottom w:val="nil"/>
              <w:right w:val="nil"/>
            </w:tcBorders>
          </w:tcPr>
          <w:p w:rsidR="00045DC6" w:rsidRDefault="00F8691C">
            <w:pPr>
              <w:spacing w:after="0" w:line="259" w:lineRule="auto"/>
              <w:ind w:left="357" w:right="0" w:firstLine="0"/>
              <w:jc w:val="left"/>
            </w:pPr>
            <w:r>
              <w:rPr>
                <w:sz w:val="12"/>
              </w:rPr>
              <w:t xml:space="preserve">159.4±1.9 </w:t>
            </w:r>
          </w:p>
        </w:tc>
        <w:tc>
          <w:tcPr>
            <w:tcW w:w="1427" w:type="dxa"/>
            <w:tcBorders>
              <w:top w:val="nil"/>
              <w:left w:val="nil"/>
              <w:bottom w:val="nil"/>
              <w:right w:val="nil"/>
            </w:tcBorders>
          </w:tcPr>
          <w:p w:rsidR="00045DC6" w:rsidRDefault="00F8691C">
            <w:pPr>
              <w:spacing w:after="0" w:line="259" w:lineRule="auto"/>
              <w:ind w:right="0" w:firstLine="0"/>
              <w:jc w:val="left"/>
            </w:pPr>
            <w:r>
              <w:rPr>
                <w:sz w:val="12"/>
              </w:rPr>
              <w:t xml:space="preserve">0.268±0.02 </w:t>
            </w:r>
          </w:p>
        </w:tc>
        <w:tc>
          <w:tcPr>
            <w:tcW w:w="1454" w:type="dxa"/>
            <w:tcBorders>
              <w:top w:val="nil"/>
              <w:left w:val="nil"/>
              <w:bottom w:val="nil"/>
              <w:right w:val="nil"/>
            </w:tcBorders>
          </w:tcPr>
          <w:p w:rsidR="00045DC6" w:rsidRDefault="00F8691C">
            <w:pPr>
              <w:spacing w:after="0" w:line="259" w:lineRule="auto"/>
              <w:ind w:left="350" w:right="0" w:firstLine="0"/>
              <w:jc w:val="left"/>
            </w:pPr>
            <w:r>
              <w:rPr>
                <w:sz w:val="12"/>
              </w:rPr>
              <w:t xml:space="preserve">-19.6±1.1 </w:t>
            </w:r>
          </w:p>
        </w:tc>
      </w:tr>
      <w:tr w:rsidR="00045DC6">
        <w:trPr>
          <w:trHeight w:val="208"/>
        </w:trPr>
        <w:tc>
          <w:tcPr>
            <w:tcW w:w="1999" w:type="dxa"/>
            <w:tcBorders>
              <w:top w:val="nil"/>
              <w:left w:val="nil"/>
              <w:bottom w:val="nil"/>
              <w:right w:val="nil"/>
            </w:tcBorders>
          </w:tcPr>
          <w:p w:rsidR="00045DC6" w:rsidRDefault="00F8691C">
            <w:pPr>
              <w:spacing w:after="0" w:line="259" w:lineRule="auto"/>
              <w:ind w:left="91" w:right="0" w:firstLine="0"/>
              <w:jc w:val="left"/>
            </w:pPr>
            <w:r>
              <w:rPr>
                <w:sz w:val="12"/>
              </w:rPr>
              <w:t xml:space="preserve">NLC-cp MAG </w:t>
            </w:r>
          </w:p>
        </w:tc>
        <w:tc>
          <w:tcPr>
            <w:tcW w:w="2054" w:type="dxa"/>
            <w:tcBorders>
              <w:top w:val="nil"/>
              <w:left w:val="nil"/>
              <w:bottom w:val="nil"/>
              <w:right w:val="nil"/>
            </w:tcBorders>
          </w:tcPr>
          <w:p w:rsidR="00045DC6" w:rsidRDefault="00F8691C">
            <w:pPr>
              <w:spacing w:after="0" w:line="259" w:lineRule="auto"/>
              <w:ind w:left="357" w:right="0" w:firstLine="0"/>
              <w:jc w:val="left"/>
            </w:pPr>
            <w:r>
              <w:rPr>
                <w:sz w:val="12"/>
              </w:rPr>
              <w:t xml:space="preserve">153.5±2.3 </w:t>
            </w:r>
          </w:p>
        </w:tc>
        <w:tc>
          <w:tcPr>
            <w:tcW w:w="1427" w:type="dxa"/>
            <w:tcBorders>
              <w:top w:val="nil"/>
              <w:left w:val="nil"/>
              <w:bottom w:val="nil"/>
              <w:right w:val="nil"/>
            </w:tcBorders>
          </w:tcPr>
          <w:p w:rsidR="00045DC6" w:rsidRDefault="00F8691C">
            <w:pPr>
              <w:spacing w:after="0" w:line="259" w:lineRule="auto"/>
              <w:ind w:right="0" w:firstLine="0"/>
              <w:jc w:val="left"/>
            </w:pPr>
            <w:r>
              <w:rPr>
                <w:sz w:val="12"/>
              </w:rPr>
              <w:t xml:space="preserve">0.133±0.01 </w:t>
            </w:r>
          </w:p>
        </w:tc>
        <w:tc>
          <w:tcPr>
            <w:tcW w:w="1454" w:type="dxa"/>
            <w:tcBorders>
              <w:top w:val="nil"/>
              <w:left w:val="nil"/>
              <w:bottom w:val="nil"/>
              <w:right w:val="nil"/>
            </w:tcBorders>
          </w:tcPr>
          <w:p w:rsidR="00045DC6" w:rsidRDefault="00F8691C">
            <w:pPr>
              <w:spacing w:after="0" w:line="259" w:lineRule="auto"/>
              <w:ind w:left="350" w:right="0" w:firstLine="0"/>
              <w:jc w:val="left"/>
            </w:pPr>
            <w:r>
              <w:rPr>
                <w:sz w:val="12"/>
              </w:rPr>
              <w:t xml:space="preserve">-29.2±0.9 </w:t>
            </w:r>
          </w:p>
        </w:tc>
      </w:tr>
      <w:tr w:rsidR="00045DC6">
        <w:trPr>
          <w:trHeight w:val="209"/>
        </w:trPr>
        <w:tc>
          <w:tcPr>
            <w:tcW w:w="1999" w:type="dxa"/>
            <w:tcBorders>
              <w:top w:val="nil"/>
              <w:left w:val="nil"/>
              <w:bottom w:val="nil"/>
              <w:right w:val="nil"/>
            </w:tcBorders>
          </w:tcPr>
          <w:p w:rsidR="00045DC6" w:rsidRDefault="00F8691C">
            <w:pPr>
              <w:spacing w:after="0" w:line="259" w:lineRule="auto"/>
              <w:ind w:left="91" w:right="0" w:firstLine="0"/>
              <w:jc w:val="left"/>
            </w:pPr>
            <w:r>
              <w:rPr>
                <w:sz w:val="12"/>
              </w:rPr>
              <w:t xml:space="preserve">SLN-tt </w:t>
            </w:r>
          </w:p>
        </w:tc>
        <w:tc>
          <w:tcPr>
            <w:tcW w:w="2054" w:type="dxa"/>
            <w:tcBorders>
              <w:top w:val="nil"/>
              <w:left w:val="nil"/>
              <w:bottom w:val="nil"/>
              <w:right w:val="nil"/>
            </w:tcBorders>
          </w:tcPr>
          <w:p w:rsidR="00045DC6" w:rsidRDefault="00F8691C">
            <w:pPr>
              <w:spacing w:after="0" w:line="259" w:lineRule="auto"/>
              <w:ind w:left="357" w:right="0" w:firstLine="0"/>
              <w:jc w:val="left"/>
            </w:pPr>
            <w:r>
              <w:rPr>
                <w:sz w:val="12"/>
              </w:rPr>
              <w:t xml:space="preserve">186.0±0.5 </w:t>
            </w:r>
          </w:p>
        </w:tc>
        <w:tc>
          <w:tcPr>
            <w:tcW w:w="1427" w:type="dxa"/>
            <w:tcBorders>
              <w:top w:val="nil"/>
              <w:left w:val="nil"/>
              <w:bottom w:val="nil"/>
              <w:right w:val="nil"/>
            </w:tcBorders>
          </w:tcPr>
          <w:p w:rsidR="00045DC6" w:rsidRDefault="00F8691C">
            <w:pPr>
              <w:spacing w:after="0" w:line="259" w:lineRule="auto"/>
              <w:ind w:right="0" w:firstLine="0"/>
              <w:jc w:val="left"/>
            </w:pPr>
            <w:r>
              <w:rPr>
                <w:sz w:val="12"/>
              </w:rPr>
              <w:t xml:space="preserve">0.177±0.01 </w:t>
            </w:r>
          </w:p>
        </w:tc>
        <w:tc>
          <w:tcPr>
            <w:tcW w:w="1454" w:type="dxa"/>
            <w:tcBorders>
              <w:top w:val="nil"/>
              <w:left w:val="nil"/>
              <w:bottom w:val="nil"/>
              <w:right w:val="nil"/>
            </w:tcBorders>
          </w:tcPr>
          <w:p w:rsidR="00045DC6" w:rsidRDefault="00F8691C">
            <w:pPr>
              <w:spacing w:after="0" w:line="259" w:lineRule="auto"/>
              <w:ind w:left="350" w:right="0" w:firstLine="0"/>
              <w:jc w:val="left"/>
            </w:pPr>
            <w:r>
              <w:rPr>
                <w:sz w:val="12"/>
              </w:rPr>
              <w:t xml:space="preserve">-17.3±2.1 </w:t>
            </w:r>
          </w:p>
        </w:tc>
      </w:tr>
      <w:tr w:rsidR="00045DC6">
        <w:trPr>
          <w:trHeight w:val="209"/>
        </w:trPr>
        <w:tc>
          <w:tcPr>
            <w:tcW w:w="1999" w:type="dxa"/>
            <w:tcBorders>
              <w:top w:val="nil"/>
              <w:left w:val="nil"/>
              <w:bottom w:val="nil"/>
              <w:right w:val="nil"/>
            </w:tcBorders>
          </w:tcPr>
          <w:p w:rsidR="00045DC6" w:rsidRDefault="00F8691C">
            <w:pPr>
              <w:spacing w:after="0" w:line="259" w:lineRule="auto"/>
              <w:ind w:left="91" w:right="0" w:firstLine="0"/>
              <w:jc w:val="left"/>
            </w:pPr>
            <w:r>
              <w:rPr>
                <w:sz w:val="12"/>
              </w:rPr>
              <w:t xml:space="preserve">SLN-tt MAG </w:t>
            </w:r>
          </w:p>
        </w:tc>
        <w:tc>
          <w:tcPr>
            <w:tcW w:w="2054" w:type="dxa"/>
            <w:tcBorders>
              <w:top w:val="nil"/>
              <w:left w:val="nil"/>
              <w:bottom w:val="nil"/>
              <w:right w:val="nil"/>
            </w:tcBorders>
          </w:tcPr>
          <w:p w:rsidR="00045DC6" w:rsidRDefault="00F8691C">
            <w:pPr>
              <w:spacing w:after="0" w:line="259" w:lineRule="auto"/>
              <w:ind w:left="357" w:right="0" w:firstLine="0"/>
              <w:jc w:val="left"/>
            </w:pPr>
            <w:r>
              <w:rPr>
                <w:sz w:val="12"/>
              </w:rPr>
              <w:t xml:space="preserve">147.1±0.2 </w:t>
            </w:r>
          </w:p>
        </w:tc>
        <w:tc>
          <w:tcPr>
            <w:tcW w:w="1427" w:type="dxa"/>
            <w:tcBorders>
              <w:top w:val="nil"/>
              <w:left w:val="nil"/>
              <w:bottom w:val="nil"/>
              <w:right w:val="nil"/>
            </w:tcBorders>
          </w:tcPr>
          <w:p w:rsidR="00045DC6" w:rsidRDefault="00F8691C">
            <w:pPr>
              <w:spacing w:after="0" w:line="259" w:lineRule="auto"/>
              <w:ind w:right="0" w:firstLine="0"/>
              <w:jc w:val="left"/>
            </w:pPr>
            <w:r>
              <w:rPr>
                <w:sz w:val="12"/>
              </w:rPr>
              <w:t xml:space="preserve">0.141±0.01 </w:t>
            </w:r>
          </w:p>
        </w:tc>
        <w:tc>
          <w:tcPr>
            <w:tcW w:w="1454" w:type="dxa"/>
            <w:tcBorders>
              <w:top w:val="nil"/>
              <w:left w:val="nil"/>
              <w:bottom w:val="nil"/>
              <w:right w:val="nil"/>
            </w:tcBorders>
          </w:tcPr>
          <w:p w:rsidR="00045DC6" w:rsidRDefault="00F8691C">
            <w:pPr>
              <w:spacing w:after="0" w:line="259" w:lineRule="auto"/>
              <w:ind w:left="350" w:right="0" w:firstLine="0"/>
              <w:jc w:val="left"/>
            </w:pPr>
            <w:r>
              <w:rPr>
                <w:sz w:val="12"/>
              </w:rPr>
              <w:t xml:space="preserve">-24.4±1.2 </w:t>
            </w:r>
          </w:p>
        </w:tc>
      </w:tr>
      <w:tr w:rsidR="00045DC6">
        <w:trPr>
          <w:trHeight w:val="208"/>
        </w:trPr>
        <w:tc>
          <w:tcPr>
            <w:tcW w:w="1999" w:type="dxa"/>
            <w:tcBorders>
              <w:top w:val="nil"/>
              <w:left w:val="nil"/>
              <w:bottom w:val="nil"/>
              <w:right w:val="nil"/>
            </w:tcBorders>
          </w:tcPr>
          <w:p w:rsidR="00045DC6" w:rsidRDefault="00F8691C">
            <w:pPr>
              <w:spacing w:after="0" w:line="259" w:lineRule="auto"/>
              <w:ind w:left="91" w:right="0" w:firstLine="0"/>
              <w:jc w:val="left"/>
            </w:pPr>
            <w:r>
              <w:rPr>
                <w:sz w:val="12"/>
              </w:rPr>
              <w:t xml:space="preserve">NLC-tt  </w:t>
            </w:r>
          </w:p>
        </w:tc>
        <w:tc>
          <w:tcPr>
            <w:tcW w:w="2054" w:type="dxa"/>
            <w:tcBorders>
              <w:top w:val="nil"/>
              <w:left w:val="nil"/>
              <w:bottom w:val="nil"/>
              <w:right w:val="nil"/>
            </w:tcBorders>
          </w:tcPr>
          <w:p w:rsidR="00045DC6" w:rsidRDefault="00F8691C">
            <w:pPr>
              <w:spacing w:after="0" w:line="259" w:lineRule="auto"/>
              <w:ind w:left="357" w:right="0" w:firstLine="0"/>
              <w:jc w:val="left"/>
            </w:pPr>
            <w:r>
              <w:rPr>
                <w:sz w:val="12"/>
              </w:rPr>
              <w:t>106.9±1.3</w:t>
            </w:r>
            <w:r>
              <w:rPr>
                <w:sz w:val="12"/>
              </w:rPr>
              <w:t xml:space="preserve"> </w:t>
            </w:r>
          </w:p>
        </w:tc>
        <w:tc>
          <w:tcPr>
            <w:tcW w:w="1427" w:type="dxa"/>
            <w:tcBorders>
              <w:top w:val="nil"/>
              <w:left w:val="nil"/>
              <w:bottom w:val="nil"/>
              <w:right w:val="nil"/>
            </w:tcBorders>
          </w:tcPr>
          <w:p w:rsidR="00045DC6" w:rsidRDefault="00F8691C">
            <w:pPr>
              <w:spacing w:after="0" w:line="259" w:lineRule="auto"/>
              <w:ind w:right="0" w:firstLine="0"/>
              <w:jc w:val="left"/>
            </w:pPr>
            <w:r>
              <w:rPr>
                <w:sz w:val="12"/>
              </w:rPr>
              <w:t>0.121±0.02</w:t>
            </w:r>
            <w:r>
              <w:rPr>
                <w:rFonts w:ascii="Arial" w:eastAsia="Arial" w:hAnsi="Arial" w:cs="Arial"/>
                <w:sz w:val="12"/>
              </w:rPr>
              <w:t xml:space="preserve"> </w:t>
            </w:r>
          </w:p>
        </w:tc>
        <w:tc>
          <w:tcPr>
            <w:tcW w:w="1454" w:type="dxa"/>
            <w:tcBorders>
              <w:top w:val="nil"/>
              <w:left w:val="nil"/>
              <w:bottom w:val="nil"/>
              <w:right w:val="nil"/>
            </w:tcBorders>
          </w:tcPr>
          <w:p w:rsidR="00045DC6" w:rsidRDefault="00F8691C">
            <w:pPr>
              <w:spacing w:after="0" w:line="259" w:lineRule="auto"/>
              <w:ind w:left="350" w:right="0" w:firstLine="0"/>
              <w:jc w:val="left"/>
            </w:pPr>
            <w:r>
              <w:rPr>
                <w:sz w:val="12"/>
              </w:rPr>
              <w:t xml:space="preserve">-24.3±2.0 </w:t>
            </w:r>
          </w:p>
        </w:tc>
      </w:tr>
      <w:tr w:rsidR="00045DC6">
        <w:trPr>
          <w:trHeight w:val="238"/>
        </w:trPr>
        <w:tc>
          <w:tcPr>
            <w:tcW w:w="1999" w:type="dxa"/>
            <w:tcBorders>
              <w:top w:val="nil"/>
              <w:left w:val="nil"/>
              <w:bottom w:val="single" w:sz="3" w:space="0" w:color="000000"/>
              <w:right w:val="nil"/>
            </w:tcBorders>
          </w:tcPr>
          <w:p w:rsidR="00045DC6" w:rsidRDefault="00F8691C">
            <w:pPr>
              <w:spacing w:after="0" w:line="259" w:lineRule="auto"/>
              <w:ind w:left="91" w:right="0" w:firstLine="0"/>
              <w:jc w:val="left"/>
            </w:pPr>
            <w:r>
              <w:rPr>
                <w:sz w:val="12"/>
              </w:rPr>
              <w:t xml:space="preserve">NLC-tt MAG </w:t>
            </w:r>
          </w:p>
        </w:tc>
        <w:tc>
          <w:tcPr>
            <w:tcW w:w="2054" w:type="dxa"/>
            <w:tcBorders>
              <w:top w:val="nil"/>
              <w:left w:val="nil"/>
              <w:bottom w:val="single" w:sz="3" w:space="0" w:color="000000"/>
              <w:right w:val="nil"/>
            </w:tcBorders>
          </w:tcPr>
          <w:p w:rsidR="00045DC6" w:rsidRDefault="00F8691C">
            <w:pPr>
              <w:spacing w:after="0" w:line="259" w:lineRule="auto"/>
              <w:ind w:left="357" w:right="0" w:firstLine="0"/>
              <w:jc w:val="left"/>
            </w:pPr>
            <w:r>
              <w:rPr>
                <w:sz w:val="12"/>
              </w:rPr>
              <w:t xml:space="preserve">101.0±1.8 </w:t>
            </w:r>
          </w:p>
        </w:tc>
        <w:tc>
          <w:tcPr>
            <w:tcW w:w="1427" w:type="dxa"/>
            <w:tcBorders>
              <w:top w:val="nil"/>
              <w:left w:val="nil"/>
              <w:bottom w:val="single" w:sz="3" w:space="0" w:color="000000"/>
              <w:right w:val="nil"/>
            </w:tcBorders>
          </w:tcPr>
          <w:p w:rsidR="00045DC6" w:rsidRDefault="00F8691C">
            <w:pPr>
              <w:spacing w:after="0" w:line="259" w:lineRule="auto"/>
              <w:ind w:right="0" w:firstLine="0"/>
              <w:jc w:val="left"/>
            </w:pPr>
            <w:r>
              <w:rPr>
                <w:sz w:val="12"/>
              </w:rPr>
              <w:t xml:space="preserve">0.114±0.00 </w:t>
            </w:r>
          </w:p>
        </w:tc>
        <w:tc>
          <w:tcPr>
            <w:tcW w:w="1454" w:type="dxa"/>
            <w:tcBorders>
              <w:top w:val="nil"/>
              <w:left w:val="nil"/>
              <w:bottom w:val="single" w:sz="3" w:space="0" w:color="000000"/>
              <w:right w:val="nil"/>
            </w:tcBorders>
          </w:tcPr>
          <w:p w:rsidR="00045DC6" w:rsidRDefault="00F8691C">
            <w:pPr>
              <w:spacing w:after="0" w:line="259" w:lineRule="auto"/>
              <w:ind w:left="350" w:right="0" w:firstLine="0"/>
              <w:jc w:val="left"/>
            </w:pPr>
            <w:r>
              <w:rPr>
                <w:sz w:val="12"/>
              </w:rPr>
              <w:t xml:space="preserve">-28.2±1.1 </w:t>
            </w:r>
          </w:p>
        </w:tc>
      </w:tr>
    </w:tbl>
    <w:p w:rsidR="00045DC6" w:rsidRDefault="00F8691C">
      <w:pPr>
        <w:spacing w:after="0" w:line="259" w:lineRule="auto"/>
        <w:ind w:left="1521" w:right="0" w:firstLine="0"/>
        <w:jc w:val="left"/>
      </w:pPr>
      <w:r>
        <w:rPr>
          <w:rFonts w:ascii="Calibri" w:eastAsia="Calibri" w:hAnsi="Calibri" w:cs="Calibri"/>
          <w:sz w:val="16"/>
        </w:rPr>
        <w:t xml:space="preserve"> </w:t>
      </w:r>
    </w:p>
    <w:p w:rsidR="00045DC6" w:rsidRDefault="00F8691C">
      <w:pPr>
        <w:spacing w:after="3" w:line="252" w:lineRule="auto"/>
        <w:ind w:left="-5" w:right="0" w:hanging="10"/>
      </w:pPr>
      <w:r>
        <w:rPr>
          <w:sz w:val="16"/>
        </w:rPr>
        <w:t xml:space="preserve">Pp : Precirol®, Poloxamer with deionized water; pp MAG :Precirol®, Poloxamer with magnetized water; cp: Compritol®, Poloxamer with deionized water; cp MAG: Compritol®, Poloxamer with magnetized water; tt: Tripalmitin,Tween 80 with deionized water; tt MAG: </w:t>
      </w:r>
      <w:r>
        <w:rPr>
          <w:sz w:val="16"/>
        </w:rPr>
        <w:t xml:space="preserve">Tripalmitin,Tween 80 with </w:t>
      </w:r>
      <w:r>
        <w:rPr>
          <w:sz w:val="16"/>
        </w:rPr>
        <w:t>magnetized water</w:t>
      </w:r>
    </w:p>
    <w:p w:rsidR="00045DC6" w:rsidRDefault="00F8691C">
      <w:pPr>
        <w:spacing w:after="285" w:line="259" w:lineRule="auto"/>
        <w:ind w:left="2135" w:right="0" w:firstLine="0"/>
        <w:jc w:val="left"/>
      </w:pPr>
      <w:r>
        <w:rPr>
          <w:rFonts w:ascii="Calibri" w:eastAsia="Calibri" w:hAnsi="Calibri" w:cs="Calibri"/>
          <w:noProof/>
          <w:sz w:val="22"/>
        </w:rPr>
        <mc:AlternateContent>
          <mc:Choice Requires="wpg">
            <w:drawing>
              <wp:inline distT="0" distB="0" distL="0" distR="0">
                <wp:extent cx="3611066" cy="3155243"/>
                <wp:effectExtent l="0" t="0" r="0" b="0"/>
                <wp:docPr id="13630" name="Group 13630"/>
                <wp:cNvGraphicFramePr/>
                <a:graphic xmlns:a="http://schemas.openxmlformats.org/drawingml/2006/main">
                  <a:graphicData uri="http://schemas.microsoft.com/office/word/2010/wordprocessingGroup">
                    <wpg:wgp>
                      <wpg:cNvGrpSpPr/>
                      <wpg:grpSpPr>
                        <a:xfrm>
                          <a:off x="0" y="0"/>
                          <a:ext cx="3611066" cy="3155243"/>
                          <a:chOff x="0" y="0"/>
                          <a:chExt cx="3611066" cy="3155243"/>
                        </a:xfrm>
                      </wpg:grpSpPr>
                      <pic:pic xmlns:pic="http://schemas.openxmlformats.org/drawingml/2006/picture">
                        <pic:nvPicPr>
                          <pic:cNvPr id="801" name="Picture 801"/>
                          <pic:cNvPicPr/>
                        </pic:nvPicPr>
                        <pic:blipFill>
                          <a:blip r:embed="rId18"/>
                          <a:stretch>
                            <a:fillRect/>
                          </a:stretch>
                        </pic:blipFill>
                        <pic:spPr>
                          <a:xfrm>
                            <a:off x="1864731" y="0"/>
                            <a:ext cx="1740416" cy="1491390"/>
                          </a:xfrm>
                          <a:prstGeom prst="rect">
                            <a:avLst/>
                          </a:prstGeom>
                        </pic:spPr>
                      </pic:pic>
                      <pic:pic xmlns:pic="http://schemas.openxmlformats.org/drawingml/2006/picture">
                        <pic:nvPicPr>
                          <pic:cNvPr id="803" name="Picture 803"/>
                          <pic:cNvPicPr/>
                        </pic:nvPicPr>
                        <pic:blipFill>
                          <a:blip r:embed="rId19"/>
                          <a:stretch>
                            <a:fillRect/>
                          </a:stretch>
                        </pic:blipFill>
                        <pic:spPr>
                          <a:xfrm>
                            <a:off x="0" y="1580582"/>
                            <a:ext cx="1778302" cy="1574662"/>
                          </a:xfrm>
                          <a:prstGeom prst="rect">
                            <a:avLst/>
                          </a:prstGeom>
                        </pic:spPr>
                      </pic:pic>
                      <pic:pic xmlns:pic="http://schemas.openxmlformats.org/drawingml/2006/picture">
                        <pic:nvPicPr>
                          <pic:cNvPr id="805" name="Picture 805"/>
                          <pic:cNvPicPr/>
                        </pic:nvPicPr>
                        <pic:blipFill>
                          <a:blip r:embed="rId20"/>
                          <a:stretch>
                            <a:fillRect/>
                          </a:stretch>
                        </pic:blipFill>
                        <pic:spPr>
                          <a:xfrm>
                            <a:off x="1864731" y="1586501"/>
                            <a:ext cx="1746335" cy="1562822"/>
                          </a:xfrm>
                          <a:prstGeom prst="rect">
                            <a:avLst/>
                          </a:prstGeom>
                        </pic:spPr>
                      </pic:pic>
                      <pic:pic xmlns:pic="http://schemas.openxmlformats.org/drawingml/2006/picture">
                        <pic:nvPicPr>
                          <pic:cNvPr id="807" name="Picture 807"/>
                          <pic:cNvPicPr/>
                        </pic:nvPicPr>
                        <pic:blipFill>
                          <a:blip r:embed="rId21"/>
                          <a:stretch>
                            <a:fillRect/>
                          </a:stretch>
                        </pic:blipFill>
                        <pic:spPr>
                          <a:xfrm>
                            <a:off x="0" y="0"/>
                            <a:ext cx="1781064" cy="1491390"/>
                          </a:xfrm>
                          <a:prstGeom prst="rect">
                            <a:avLst/>
                          </a:prstGeom>
                        </pic:spPr>
                      </pic:pic>
                      <wps:wsp>
                        <wps:cNvPr id="808" name="Rectangle 808"/>
                        <wps:cNvSpPr/>
                        <wps:spPr>
                          <a:xfrm>
                            <a:off x="190" y="11130"/>
                            <a:ext cx="26192" cy="118046"/>
                          </a:xfrm>
                          <a:prstGeom prst="rect">
                            <a:avLst/>
                          </a:prstGeom>
                          <a:ln>
                            <a:noFill/>
                          </a:ln>
                        </wps:spPr>
                        <wps:txbx>
                          <w:txbxContent>
                            <w:p w:rsidR="00045DC6" w:rsidRDefault="00F8691C">
                              <w:pPr>
                                <w:spacing w:after="160" w:line="259" w:lineRule="auto"/>
                                <w:ind w:right="0" w:firstLine="0"/>
                                <w:jc w:val="left"/>
                              </w:pPr>
                              <w:r>
                                <w:rPr>
                                  <w:rFonts w:ascii="Calibri" w:eastAsia="Calibri" w:hAnsi="Calibri" w:cs="Calibri"/>
                                  <w:sz w:val="14"/>
                                </w:rPr>
                                <w:t xml:space="preserve"> </w:t>
                              </w:r>
                            </w:p>
                          </w:txbxContent>
                        </wps:txbx>
                        <wps:bodyPr horzOverflow="overflow" vert="horz" lIns="0" tIns="0" rIns="0" bIns="0" rtlCol="0">
                          <a:noAutofit/>
                        </wps:bodyPr>
                      </wps:wsp>
                      <wps:wsp>
                        <wps:cNvPr id="809" name="Rectangle 809"/>
                        <wps:cNvSpPr/>
                        <wps:spPr>
                          <a:xfrm>
                            <a:off x="3067510" y="11130"/>
                            <a:ext cx="26193" cy="118046"/>
                          </a:xfrm>
                          <a:prstGeom prst="rect">
                            <a:avLst/>
                          </a:prstGeom>
                          <a:ln>
                            <a:noFill/>
                          </a:ln>
                        </wps:spPr>
                        <wps:txbx>
                          <w:txbxContent>
                            <w:p w:rsidR="00045DC6" w:rsidRDefault="00F8691C">
                              <w:pPr>
                                <w:spacing w:after="160" w:line="259" w:lineRule="auto"/>
                                <w:ind w:right="0" w:firstLine="0"/>
                                <w:jc w:val="left"/>
                              </w:pPr>
                              <w:r>
                                <w:rPr>
                                  <w:rFonts w:ascii="Calibri" w:eastAsia="Calibri" w:hAnsi="Calibri" w:cs="Calibri"/>
                                  <w:sz w:val="14"/>
                                </w:rPr>
                                <w:t xml:space="preserve"> </w:t>
                              </w:r>
                            </w:p>
                          </w:txbxContent>
                        </wps:txbx>
                        <wps:bodyPr horzOverflow="overflow" vert="horz" lIns="0" tIns="0" rIns="0" bIns="0" rtlCol="0">
                          <a:noAutofit/>
                        </wps:bodyPr>
                      </wps:wsp>
                      <wps:wsp>
                        <wps:cNvPr id="810" name="Rectangle 810"/>
                        <wps:cNvSpPr/>
                        <wps:spPr>
                          <a:xfrm>
                            <a:off x="190" y="212074"/>
                            <a:ext cx="26192" cy="118046"/>
                          </a:xfrm>
                          <a:prstGeom prst="rect">
                            <a:avLst/>
                          </a:prstGeom>
                          <a:ln>
                            <a:noFill/>
                          </a:ln>
                        </wps:spPr>
                        <wps:txbx>
                          <w:txbxContent>
                            <w:p w:rsidR="00045DC6" w:rsidRDefault="00F8691C">
                              <w:pPr>
                                <w:spacing w:after="160" w:line="259" w:lineRule="auto"/>
                                <w:ind w:right="0" w:firstLine="0"/>
                                <w:jc w:val="left"/>
                              </w:pPr>
                              <w:r>
                                <w:rPr>
                                  <w:rFonts w:ascii="Calibri" w:eastAsia="Calibri" w:hAnsi="Calibri" w:cs="Calibri"/>
                                  <w:sz w:val="14"/>
                                </w:rPr>
                                <w:t xml:space="preserve"> </w:t>
                              </w:r>
                            </w:p>
                          </w:txbxContent>
                        </wps:txbx>
                        <wps:bodyPr horzOverflow="overflow" vert="horz" lIns="0" tIns="0" rIns="0" bIns="0" rtlCol="0">
                          <a:noAutofit/>
                        </wps:bodyPr>
                      </wps:wsp>
                      <wps:wsp>
                        <wps:cNvPr id="811" name="Rectangle 811"/>
                        <wps:cNvSpPr/>
                        <wps:spPr>
                          <a:xfrm>
                            <a:off x="1137015" y="212074"/>
                            <a:ext cx="26192" cy="118046"/>
                          </a:xfrm>
                          <a:prstGeom prst="rect">
                            <a:avLst/>
                          </a:prstGeom>
                          <a:ln>
                            <a:noFill/>
                          </a:ln>
                        </wps:spPr>
                        <wps:txbx>
                          <w:txbxContent>
                            <w:p w:rsidR="00045DC6" w:rsidRDefault="00F8691C">
                              <w:pPr>
                                <w:spacing w:after="160" w:line="259" w:lineRule="auto"/>
                                <w:ind w:right="0" w:firstLine="0"/>
                                <w:jc w:val="left"/>
                              </w:pPr>
                              <w:r>
                                <w:rPr>
                                  <w:rFonts w:ascii="Calibri" w:eastAsia="Calibri" w:hAnsi="Calibri" w:cs="Calibri"/>
                                  <w:sz w:val="1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630" style="width:284.336pt;height:248.444pt;mso-position-horizontal-relative:char;mso-position-vertical-relative:line" coordsize="36110,31552">
                <v:shape id="Picture 801" style="position:absolute;width:17404;height:14913;left:18647;top:0;" filled="f">
                  <v:imagedata r:id="rId22"/>
                </v:shape>
                <v:shape id="Picture 803" style="position:absolute;width:17783;height:15746;left:0;top:15805;" filled="f">
                  <v:imagedata r:id="rId23"/>
                </v:shape>
                <v:shape id="Picture 805" style="position:absolute;width:17463;height:15628;left:18647;top:15865;" filled="f">
                  <v:imagedata r:id="rId24"/>
                </v:shape>
                <v:shape id="Picture 807" style="position:absolute;width:17810;height:14913;left:0;top:0;" filled="f">
                  <v:imagedata r:id="rId25"/>
                </v:shape>
                <v:rect id="Rectangle 808" style="position:absolute;width:261;height:1180;left:1;top:111;" filled="f" stroked="f">
                  <v:textbox inset="0,0,0,0">
                    <w:txbxContent>
                      <w:p>
                        <w:pPr>
                          <w:spacing w:before="0" w:after="160" w:line="259" w:lineRule="auto"/>
                          <w:ind w:right="0" w:firstLine="0"/>
                          <w:jc w:val="left"/>
                        </w:pPr>
                        <w:r>
                          <w:rPr>
                            <w:rFonts w:cs="Calibri" w:hAnsi="Calibri" w:eastAsia="Calibri" w:ascii="Calibri"/>
                            <w:sz w:val="14"/>
                          </w:rPr>
                          <w:t xml:space="preserve"> </w:t>
                        </w:r>
                      </w:p>
                    </w:txbxContent>
                  </v:textbox>
                </v:rect>
                <v:rect id="Rectangle 809" style="position:absolute;width:261;height:1180;left:30675;top:111;" filled="f" stroked="f">
                  <v:textbox inset="0,0,0,0">
                    <w:txbxContent>
                      <w:p>
                        <w:pPr>
                          <w:spacing w:before="0" w:after="160" w:line="259" w:lineRule="auto"/>
                          <w:ind w:right="0" w:firstLine="0"/>
                          <w:jc w:val="left"/>
                        </w:pPr>
                        <w:r>
                          <w:rPr>
                            <w:rFonts w:cs="Calibri" w:hAnsi="Calibri" w:eastAsia="Calibri" w:ascii="Calibri"/>
                            <w:sz w:val="14"/>
                          </w:rPr>
                          <w:t xml:space="preserve"> </w:t>
                        </w:r>
                      </w:p>
                    </w:txbxContent>
                  </v:textbox>
                </v:rect>
                <v:rect id="Rectangle 810" style="position:absolute;width:261;height:1180;left:1;top:2120;" filled="f" stroked="f">
                  <v:textbox inset="0,0,0,0">
                    <w:txbxContent>
                      <w:p>
                        <w:pPr>
                          <w:spacing w:before="0" w:after="160" w:line="259" w:lineRule="auto"/>
                          <w:ind w:right="0" w:firstLine="0"/>
                          <w:jc w:val="left"/>
                        </w:pPr>
                        <w:r>
                          <w:rPr>
                            <w:rFonts w:cs="Calibri" w:hAnsi="Calibri" w:eastAsia="Calibri" w:ascii="Calibri"/>
                            <w:sz w:val="14"/>
                          </w:rPr>
                          <w:t xml:space="preserve"> </w:t>
                        </w:r>
                      </w:p>
                    </w:txbxContent>
                  </v:textbox>
                </v:rect>
                <v:rect id="Rectangle 811" style="position:absolute;width:261;height:1180;left:11370;top:2120;" filled="f" stroked="f">
                  <v:textbox inset="0,0,0,0">
                    <w:txbxContent>
                      <w:p>
                        <w:pPr>
                          <w:spacing w:before="0" w:after="160" w:line="259" w:lineRule="auto"/>
                          <w:ind w:right="0" w:firstLine="0"/>
                          <w:jc w:val="left"/>
                        </w:pPr>
                        <w:r>
                          <w:rPr>
                            <w:rFonts w:cs="Calibri" w:hAnsi="Calibri" w:eastAsia="Calibri" w:ascii="Calibri"/>
                            <w:sz w:val="14"/>
                          </w:rPr>
                          <w:t xml:space="preserve"> </w:t>
                        </w:r>
                      </w:p>
                    </w:txbxContent>
                  </v:textbox>
                </v:rect>
              </v:group>
            </w:pict>
          </mc:Fallback>
        </mc:AlternateContent>
      </w:r>
    </w:p>
    <w:p w:rsidR="00045DC6" w:rsidRDefault="00F8691C">
      <w:pPr>
        <w:spacing w:after="3" w:line="265" w:lineRule="auto"/>
        <w:ind w:left="-5" w:right="0" w:hanging="10"/>
        <w:jc w:val="left"/>
      </w:pPr>
      <w:r>
        <w:rPr>
          <w:b/>
          <w:sz w:val="16"/>
        </w:rPr>
        <w:t xml:space="preserve">Figure 2. </w:t>
      </w:r>
      <w:r>
        <w:rPr>
          <w:sz w:val="16"/>
        </w:rPr>
        <w:t xml:space="preserve">The transmission electron microscopy (TEM) images </w:t>
      </w:r>
    </w:p>
    <w:p w:rsidR="00045DC6" w:rsidRDefault="00F8691C">
      <w:pPr>
        <w:spacing w:after="3" w:line="252" w:lineRule="auto"/>
        <w:ind w:left="-5" w:right="0" w:hanging="10"/>
      </w:pPr>
      <w:r>
        <w:rPr>
          <w:sz w:val="16"/>
        </w:rPr>
        <w:t xml:space="preserve">A) SLN pp: Precirol®, Poloxamer with deionized water; B) SLN pp MAG: Precirol®, Poloxamer with magnetized water; C) NLC pp: Precirol®, </w:t>
      </w:r>
    </w:p>
    <w:p w:rsidR="00045DC6" w:rsidRDefault="00F8691C">
      <w:pPr>
        <w:spacing w:after="3" w:line="252" w:lineRule="auto"/>
        <w:ind w:left="-5" w:right="0" w:hanging="10"/>
      </w:pPr>
      <w:r>
        <w:rPr>
          <w:sz w:val="16"/>
        </w:rPr>
        <w:t>Poloxamer with deionized water; D) NLC pp MAG:Precirol®, Poloxamer with magnetized water</w:t>
      </w:r>
    </w:p>
    <w:p w:rsidR="00045DC6" w:rsidRDefault="00045DC6">
      <w:pPr>
        <w:sectPr w:rsidR="00045DC6">
          <w:type w:val="continuous"/>
          <w:pgSz w:w="11906" w:h="16838"/>
          <w:pgMar w:top="1445" w:right="1020" w:bottom="1295" w:left="1020" w:header="720" w:footer="720" w:gutter="0"/>
          <w:cols w:space="720"/>
        </w:sectPr>
      </w:pPr>
    </w:p>
    <w:p w:rsidR="00045DC6" w:rsidRDefault="00F8691C">
      <w:pPr>
        <w:ind w:left="-15" w:right="30" w:firstLine="0"/>
      </w:pPr>
      <w:r>
        <w:t>and NLC formula</w:t>
      </w:r>
      <w:r>
        <w:t xml:space="preserve">tions with Precirol®, as the lipid, were scanned from 25 </w:t>
      </w:r>
      <w:r>
        <w:rPr>
          <w:sz w:val="18"/>
          <w:vertAlign w:val="superscript"/>
        </w:rPr>
        <w:t>°</w:t>
      </w:r>
      <w:r>
        <w:t xml:space="preserve">C to 165 </w:t>
      </w:r>
      <w:r>
        <w:rPr>
          <w:sz w:val="18"/>
          <w:vertAlign w:val="superscript"/>
        </w:rPr>
        <w:t>°</w:t>
      </w:r>
      <w:r>
        <w:t xml:space="preserve">C (5 </w:t>
      </w:r>
      <w:r>
        <w:rPr>
          <w:sz w:val="18"/>
          <w:vertAlign w:val="superscript"/>
        </w:rPr>
        <w:t>°</w:t>
      </w:r>
      <w:r>
        <w:t xml:space="preserve">C/min), and the melting </w:t>
      </w:r>
      <w:r>
        <w:t>points of the different formulations were compared with the bulk lipids. According to the diagram obtained from the DSC, the lipids peaked in NLC pp, NLC PP M</w:t>
      </w:r>
      <w:r>
        <w:t>AG, SLN pp, and SLN pp MAG slightly shifted towards lower temperatures compared to their bulk lipids (Figures 3 and 4). The recrystallization of the SLN and NLC formulations occurred at lower temperatures compared with the bulk material.</w:t>
      </w:r>
    </w:p>
    <w:p w:rsidR="00045DC6" w:rsidRDefault="00F8691C">
      <w:pPr>
        <w:spacing w:after="184"/>
        <w:ind w:left="-15" w:right="30"/>
      </w:pPr>
      <w:r>
        <w:t>After 24 hr, NLC f</w:t>
      </w:r>
      <w:r>
        <w:t xml:space="preserve">ormulations containing Compritol®, </w:t>
      </w:r>
      <w:r>
        <w:t xml:space="preserve">Precirol®, and Tripalmitin exhibited more occlusive </w:t>
      </w:r>
      <w:r>
        <w:t xml:space="preserve">properties than SLN formulations. The NLC containing the magnetized water and Comparitol® had the most occlusion factor ( Figure 5). </w:t>
      </w:r>
    </w:p>
    <w:p w:rsidR="00045DC6" w:rsidRDefault="00F8691C">
      <w:pPr>
        <w:spacing w:after="0" w:line="259" w:lineRule="auto"/>
        <w:ind w:left="164" w:right="0" w:firstLine="0"/>
        <w:jc w:val="left"/>
      </w:pPr>
      <w:r>
        <w:rPr>
          <w:noProof/>
        </w:rPr>
        <w:drawing>
          <wp:inline distT="0" distB="0" distL="0" distR="0">
            <wp:extent cx="2831592" cy="2127504"/>
            <wp:effectExtent l="0" t="0" r="0" b="0"/>
            <wp:docPr id="16107" name="Picture 16107"/>
            <wp:cNvGraphicFramePr/>
            <a:graphic xmlns:a="http://schemas.openxmlformats.org/drawingml/2006/main">
              <a:graphicData uri="http://schemas.openxmlformats.org/drawingml/2006/picture">
                <pic:pic xmlns:pic="http://schemas.openxmlformats.org/drawingml/2006/picture">
                  <pic:nvPicPr>
                    <pic:cNvPr id="16107" name="Picture 16107"/>
                    <pic:cNvPicPr/>
                  </pic:nvPicPr>
                  <pic:blipFill>
                    <a:blip r:embed="rId26"/>
                    <a:stretch>
                      <a:fillRect/>
                    </a:stretch>
                  </pic:blipFill>
                  <pic:spPr>
                    <a:xfrm>
                      <a:off x="0" y="0"/>
                      <a:ext cx="2831592" cy="2127504"/>
                    </a:xfrm>
                    <a:prstGeom prst="rect">
                      <a:avLst/>
                    </a:prstGeom>
                  </pic:spPr>
                </pic:pic>
              </a:graphicData>
            </a:graphic>
          </wp:inline>
        </w:drawing>
      </w:r>
    </w:p>
    <w:p w:rsidR="00045DC6" w:rsidRDefault="00F8691C">
      <w:pPr>
        <w:spacing w:after="223"/>
        <w:ind w:left="-15" w:right="30"/>
      </w:pPr>
      <w:r>
        <w:t>After 48 hr of using the formulat</w:t>
      </w:r>
      <w:r>
        <w:t xml:space="preserve">ions, most occlusion factor was related to the SLN containing Compritol® and magnetized water. The SLN formulations prepared with magnetized water showed more occlusion factor </w:t>
      </w:r>
      <w:r>
        <w:t xml:space="preserve">(F) than the NLC formulations (except the SLN prepared </w:t>
      </w:r>
      <w:r>
        <w:t>with Tripalmitin). The NL</w:t>
      </w:r>
      <w:r>
        <w:t xml:space="preserve">C formulations containing Compritol®, Precirol®, Tripalmitin, and deionized </w:t>
      </w:r>
      <w:r>
        <w:t xml:space="preserve">water exhibited more occlusion properties than the SLN </w:t>
      </w:r>
      <w:r>
        <w:t>formulation (Figure 5).</w:t>
      </w:r>
    </w:p>
    <w:p w:rsidR="00045DC6" w:rsidRDefault="00F8691C">
      <w:pPr>
        <w:pStyle w:val="Heading2"/>
        <w:ind w:left="-5"/>
      </w:pPr>
      <w:r>
        <w:t>Skin hydration measurement using corneometer</w:t>
      </w:r>
    </w:p>
    <w:p w:rsidR="00045DC6" w:rsidRDefault="00F8691C">
      <w:pPr>
        <w:spacing w:after="220"/>
        <w:ind w:left="-15" w:right="30"/>
      </w:pPr>
      <w:r>
        <w:t xml:space="preserve">Figure 6 shows the moisturizing effect of 5% Precirol® formulations using a corneometer. The moisturization of each formulation has been evaluated </w:t>
      </w:r>
      <w:r>
        <w:t xml:space="preserve">on six volunteers and measured at different times (0.5, </w:t>
      </w:r>
    </w:p>
    <w:p w:rsidR="00045DC6" w:rsidRDefault="00F8691C">
      <w:pPr>
        <w:spacing w:after="0" w:line="259" w:lineRule="auto"/>
        <w:ind w:left="218" w:right="0" w:firstLine="0"/>
        <w:jc w:val="left"/>
      </w:pPr>
      <w:r>
        <w:rPr>
          <w:noProof/>
        </w:rPr>
        <w:drawing>
          <wp:inline distT="0" distB="0" distL="0" distR="0">
            <wp:extent cx="2727960" cy="1993392"/>
            <wp:effectExtent l="0" t="0" r="0" b="0"/>
            <wp:docPr id="16108" name="Picture 16108"/>
            <wp:cNvGraphicFramePr/>
            <a:graphic xmlns:a="http://schemas.openxmlformats.org/drawingml/2006/main">
              <a:graphicData uri="http://schemas.openxmlformats.org/drawingml/2006/picture">
                <pic:pic xmlns:pic="http://schemas.openxmlformats.org/drawingml/2006/picture">
                  <pic:nvPicPr>
                    <pic:cNvPr id="16108" name="Picture 16108"/>
                    <pic:cNvPicPr/>
                  </pic:nvPicPr>
                  <pic:blipFill>
                    <a:blip r:embed="rId27"/>
                    <a:stretch>
                      <a:fillRect/>
                    </a:stretch>
                  </pic:blipFill>
                  <pic:spPr>
                    <a:xfrm>
                      <a:off x="0" y="0"/>
                      <a:ext cx="2727960" cy="1993392"/>
                    </a:xfrm>
                    <a:prstGeom prst="rect">
                      <a:avLst/>
                    </a:prstGeom>
                  </pic:spPr>
                </pic:pic>
              </a:graphicData>
            </a:graphic>
          </wp:inline>
        </w:drawing>
      </w:r>
    </w:p>
    <w:p w:rsidR="00045DC6" w:rsidRDefault="00045DC6">
      <w:pPr>
        <w:sectPr w:rsidR="00045DC6">
          <w:type w:val="continuous"/>
          <w:pgSz w:w="11906" w:h="16838"/>
          <w:pgMar w:top="1440" w:right="1020" w:bottom="1440" w:left="1020" w:header="720" w:footer="720" w:gutter="0"/>
          <w:cols w:num="2" w:space="351"/>
        </w:sectPr>
      </w:pPr>
    </w:p>
    <w:p w:rsidR="00045DC6" w:rsidRDefault="00F8691C">
      <w:pPr>
        <w:spacing w:after="3" w:line="252" w:lineRule="auto"/>
        <w:ind w:left="-5" w:right="0" w:hanging="10"/>
      </w:pPr>
      <w:r>
        <w:rPr>
          <w:b/>
          <w:sz w:val="16"/>
        </w:rPr>
        <w:t>Figure 3.</w:t>
      </w:r>
      <w:r>
        <w:rPr>
          <w:sz w:val="16"/>
        </w:rPr>
        <w:t xml:space="preserve"> Differential scanning calorimetry (DSC) thermograms </w:t>
      </w:r>
      <w:r>
        <w:rPr>
          <w:sz w:val="16"/>
        </w:rPr>
        <w:t xml:space="preserve">of (A)Precirol® bulk, D) SLN pp MAG: Precirol®, Poloxamer with magnetized water; E) SLN pp:Precirol®, Poloxamer with deionized </w:t>
      </w:r>
      <w:r>
        <w:rPr>
          <w:sz w:val="16"/>
        </w:rPr>
        <w:t>water</w:t>
      </w:r>
    </w:p>
    <w:p w:rsidR="00045DC6" w:rsidRDefault="00F8691C">
      <w:pPr>
        <w:spacing w:after="3" w:line="252" w:lineRule="auto"/>
        <w:ind w:left="-5" w:right="0" w:hanging="10"/>
      </w:pPr>
      <w:r>
        <w:rPr>
          <w:b/>
          <w:sz w:val="16"/>
        </w:rPr>
        <w:t>Figure 4.</w:t>
      </w:r>
      <w:r>
        <w:rPr>
          <w:sz w:val="16"/>
        </w:rPr>
        <w:t xml:space="preserve"> Differential scanning calorimetry (DSC)  thermograms of (A) </w:t>
      </w:r>
      <w:r>
        <w:rPr>
          <w:sz w:val="16"/>
        </w:rPr>
        <w:t>Precirol® bulk; B)NLC pp: Precirol®, Poloxamer with deionized water</w:t>
      </w:r>
    </w:p>
    <w:p w:rsidR="00045DC6" w:rsidRDefault="00F8691C">
      <w:pPr>
        <w:spacing w:after="3" w:line="252" w:lineRule="auto"/>
        <w:ind w:left="-5" w:right="0" w:hanging="10"/>
      </w:pPr>
      <w:r>
        <w:rPr>
          <w:sz w:val="16"/>
        </w:rPr>
        <w:t>D)NLC pp MAG:Precirol®, Poloxamer with magnetized water</w:t>
      </w:r>
    </w:p>
    <w:p w:rsidR="00045DC6" w:rsidRDefault="00F8691C">
      <w:pPr>
        <w:spacing w:after="401" w:line="259" w:lineRule="auto"/>
        <w:ind w:left="138" w:right="0" w:firstLine="0"/>
        <w:jc w:val="left"/>
      </w:pPr>
      <w:r>
        <w:rPr>
          <w:noProof/>
        </w:rPr>
        <w:drawing>
          <wp:inline distT="0" distB="0" distL="0" distR="0">
            <wp:extent cx="2785872" cy="2609088"/>
            <wp:effectExtent l="0" t="0" r="0" b="0"/>
            <wp:docPr id="16109" name="Picture 16109"/>
            <wp:cNvGraphicFramePr/>
            <a:graphic xmlns:a="http://schemas.openxmlformats.org/drawingml/2006/main">
              <a:graphicData uri="http://schemas.openxmlformats.org/drawingml/2006/picture">
                <pic:pic xmlns:pic="http://schemas.openxmlformats.org/drawingml/2006/picture">
                  <pic:nvPicPr>
                    <pic:cNvPr id="16109" name="Picture 16109"/>
                    <pic:cNvPicPr/>
                  </pic:nvPicPr>
                  <pic:blipFill>
                    <a:blip r:embed="rId28"/>
                    <a:stretch>
                      <a:fillRect/>
                    </a:stretch>
                  </pic:blipFill>
                  <pic:spPr>
                    <a:xfrm>
                      <a:off x="0" y="0"/>
                      <a:ext cx="2785872" cy="2609088"/>
                    </a:xfrm>
                    <a:prstGeom prst="rect">
                      <a:avLst/>
                    </a:prstGeom>
                  </pic:spPr>
                </pic:pic>
              </a:graphicData>
            </a:graphic>
          </wp:inline>
        </w:drawing>
      </w:r>
    </w:p>
    <w:p w:rsidR="00045DC6" w:rsidRDefault="00F8691C">
      <w:pPr>
        <w:spacing w:after="3" w:line="265" w:lineRule="auto"/>
        <w:ind w:left="-5" w:right="0" w:hanging="10"/>
        <w:jc w:val="left"/>
      </w:pPr>
      <w:r>
        <w:rPr>
          <w:b/>
          <w:sz w:val="16"/>
        </w:rPr>
        <w:t>Figure 5.</w:t>
      </w:r>
      <w:r>
        <w:rPr>
          <w:sz w:val="16"/>
        </w:rPr>
        <w:t xml:space="preserve"> The occlusion factor (F) of different formulation of SLN and </w:t>
      </w:r>
    </w:p>
    <w:p w:rsidR="00045DC6" w:rsidRDefault="00F8691C">
      <w:pPr>
        <w:spacing w:after="3" w:line="252" w:lineRule="auto"/>
        <w:ind w:left="-5" w:right="0" w:hanging="10"/>
      </w:pPr>
      <w:r>
        <w:rPr>
          <w:sz w:val="16"/>
        </w:rPr>
        <w:t xml:space="preserve">NLC after 24 hr and 48 hr (n=3) </w:t>
      </w:r>
    </w:p>
    <w:p w:rsidR="00045DC6" w:rsidRDefault="00F8691C">
      <w:pPr>
        <w:spacing w:after="3" w:line="252" w:lineRule="auto"/>
        <w:ind w:left="-5" w:right="0" w:hanging="10"/>
      </w:pPr>
      <w:r>
        <w:rPr>
          <w:sz w:val="16"/>
        </w:rPr>
        <w:t>*</w:t>
      </w:r>
      <w:r>
        <w:rPr>
          <w:i/>
          <w:sz w:val="16"/>
        </w:rPr>
        <w:t xml:space="preserve"> P </w:t>
      </w:r>
      <w:r>
        <w:rPr>
          <w:sz w:val="16"/>
        </w:rPr>
        <w:t xml:space="preserve">&lt;0.05, ** </w:t>
      </w:r>
      <w:r>
        <w:rPr>
          <w:i/>
          <w:sz w:val="16"/>
        </w:rPr>
        <w:t xml:space="preserve">P </w:t>
      </w:r>
      <w:r>
        <w:rPr>
          <w:sz w:val="16"/>
        </w:rPr>
        <w:t>&lt;0.01 and</w:t>
      </w:r>
      <w:r>
        <w:rPr>
          <w:sz w:val="16"/>
        </w:rPr>
        <w:t xml:space="preserve"> ***</w:t>
      </w:r>
      <w:r>
        <w:rPr>
          <w:i/>
          <w:sz w:val="16"/>
        </w:rPr>
        <w:t xml:space="preserve"> P</w:t>
      </w:r>
      <w:r>
        <w:rPr>
          <w:sz w:val="16"/>
        </w:rPr>
        <w:t xml:space="preserve"> &lt;0.001)</w:t>
      </w:r>
    </w:p>
    <w:p w:rsidR="00045DC6" w:rsidRDefault="00F8691C">
      <w:pPr>
        <w:spacing w:after="431" w:line="265" w:lineRule="auto"/>
        <w:ind w:left="-5" w:right="0" w:hanging="10"/>
        <w:jc w:val="left"/>
      </w:pPr>
      <w:r>
        <w:rPr>
          <w:sz w:val="16"/>
        </w:rPr>
        <w:t>SLN: solid lipid nanoparticles; NLC:nanostructured lipid carriers</w:t>
      </w:r>
    </w:p>
    <w:p w:rsidR="00045DC6" w:rsidRDefault="00F8691C">
      <w:pPr>
        <w:spacing w:after="33"/>
        <w:ind w:left="-15" w:right="30" w:firstLine="0"/>
      </w:pPr>
      <w:r>
        <w:t>1, 3, and 5 hr) compared with the control.</w:t>
      </w:r>
    </w:p>
    <w:p w:rsidR="00045DC6" w:rsidRDefault="00F8691C">
      <w:pPr>
        <w:spacing w:after="263"/>
        <w:ind w:left="-15" w:right="30"/>
      </w:pPr>
      <w:r>
        <w:t>Compared to the control, SLN pp MAG and NLC pp MAG significantly increased the moisture content of the skin in all time points (</w:t>
      </w:r>
      <w:r>
        <w:rPr>
          <w:i/>
        </w:rPr>
        <w:t>P</w:t>
      </w:r>
      <w:r>
        <w:t xml:space="preserve">&lt;0.001). At 1 hr application, the </w:t>
      </w:r>
      <w:r>
        <w:t>highest water content was observed for SLN pp MAG. After 5 hr, there was a significant difference between the samples of SLN Precirol® prepared with magnetized water and the control (Figure 6).</w:t>
      </w:r>
    </w:p>
    <w:p w:rsidR="00045DC6" w:rsidRDefault="00F8691C">
      <w:pPr>
        <w:pStyle w:val="Heading1"/>
        <w:spacing w:before="0"/>
        <w:ind w:left="-5"/>
      </w:pPr>
      <w:r>
        <w:t>Discussion</w:t>
      </w:r>
    </w:p>
    <w:p w:rsidR="00045DC6" w:rsidRDefault="00F8691C">
      <w:pPr>
        <w:ind w:left="-15" w:right="30"/>
      </w:pPr>
      <w:r>
        <w:t>In this study, th</w:t>
      </w:r>
      <w:r>
        <w:t xml:space="preserve">e diameter of the nanoparticles with </w:t>
      </w:r>
      <w:r>
        <w:t xml:space="preserve">magnetized water was significantly lower compared with </w:t>
      </w:r>
      <w:r>
        <w:t xml:space="preserve">the nanoparticles with deionized water. In formulations with magnetized water, the nucleation process took </w:t>
      </w:r>
      <w:r>
        <w:t xml:space="preserve">place more quickly but the growth process of the nuclei </w:t>
      </w:r>
      <w:r>
        <w:t>w</w:t>
      </w:r>
      <w:r>
        <w:t>as slower; thus, the number of nanoparticles was increased, and each particle had a smaller size (28).</w:t>
      </w:r>
    </w:p>
    <w:p w:rsidR="00045DC6" w:rsidRDefault="00F8691C">
      <w:pPr>
        <w:ind w:left="-15" w:right="30"/>
      </w:pPr>
      <w:r>
        <w:t xml:space="preserve">The important point of the stability of colloidal dispersions is the zeta potential. The high zeta potential </w:t>
      </w:r>
      <w:r>
        <w:t>(&gt;30 mV) prevents the aggregation of the par</w:t>
      </w:r>
      <w:r>
        <w:t xml:space="preserve">ticles </w:t>
      </w:r>
      <w:r>
        <w:t xml:space="preserve">due to the presence of electric repulsion (29). The zeta potentials of SLN-cp MAG, NLC-cp MAG, and NLC-tt MAG </w:t>
      </w:r>
      <w:r>
        <w:t xml:space="preserve">were approximately -30 mV, showing more physical </w:t>
      </w:r>
      <w:r>
        <w:t xml:space="preserve">stability than other formulations. Various studies have </w:t>
      </w:r>
      <w:r>
        <w:t xml:space="preserve">shown that the magnetic field can </w:t>
      </w:r>
      <w:r>
        <w:t>affect zeta potential, since ion adsorption was changed (30, 31).</w:t>
      </w:r>
    </w:p>
    <w:p w:rsidR="00045DC6" w:rsidRDefault="00F8691C">
      <w:pPr>
        <w:ind w:left="-15" w:right="30"/>
      </w:pPr>
      <w:r>
        <w:t>In the morphology evaluation, the nanoparticles containing magnetized water were better than other formulation. These characteristics are probably because of the reduction of hydrogen bondin</w:t>
      </w:r>
      <w:r>
        <w:t xml:space="preserve">g in water </w:t>
      </w:r>
      <w:r>
        <w:t xml:space="preserve">molecules due to exposure to the magnetic field. When the water was exposed to the magnetic field, there was </w:t>
      </w:r>
      <w:r>
        <w:t>less hydrogen bonding with the functional groups of the used lipids; therefore, the lipids were not captured by water molecules, and the</w:t>
      </w:r>
      <w:r>
        <w:t xml:space="preserve"> particles would be small, dispersed suitably, and not cumulated.</w:t>
      </w:r>
    </w:p>
    <w:p w:rsidR="00045DC6" w:rsidRDefault="00F8691C">
      <w:pPr>
        <w:ind w:left="-15" w:right="30"/>
      </w:pPr>
      <w:r>
        <w:t xml:space="preserve">Reduction of melting temperature with DSC analysis in NLC pp, NLC PP MAG, SLN pp, and SLN pp MAG </w:t>
      </w:r>
    </w:p>
    <w:p w:rsidR="00045DC6" w:rsidRDefault="00F8691C">
      <w:pPr>
        <w:spacing w:after="346" w:line="259" w:lineRule="auto"/>
        <w:ind w:left="391" w:right="0" w:firstLine="0"/>
        <w:jc w:val="left"/>
      </w:pPr>
      <w:r>
        <w:rPr>
          <w:noProof/>
        </w:rPr>
        <w:drawing>
          <wp:inline distT="0" distB="0" distL="0" distR="0">
            <wp:extent cx="2548128" cy="1667256"/>
            <wp:effectExtent l="0" t="0" r="0" b="0"/>
            <wp:docPr id="16110" name="Picture 16110"/>
            <wp:cNvGraphicFramePr/>
            <a:graphic xmlns:a="http://schemas.openxmlformats.org/drawingml/2006/main">
              <a:graphicData uri="http://schemas.openxmlformats.org/drawingml/2006/picture">
                <pic:pic xmlns:pic="http://schemas.openxmlformats.org/drawingml/2006/picture">
                  <pic:nvPicPr>
                    <pic:cNvPr id="16110" name="Picture 16110"/>
                    <pic:cNvPicPr/>
                  </pic:nvPicPr>
                  <pic:blipFill>
                    <a:blip r:embed="rId29"/>
                    <a:stretch>
                      <a:fillRect/>
                    </a:stretch>
                  </pic:blipFill>
                  <pic:spPr>
                    <a:xfrm>
                      <a:off x="0" y="0"/>
                      <a:ext cx="2548128" cy="1667256"/>
                    </a:xfrm>
                    <a:prstGeom prst="rect">
                      <a:avLst/>
                    </a:prstGeom>
                  </pic:spPr>
                </pic:pic>
              </a:graphicData>
            </a:graphic>
          </wp:inline>
        </w:drawing>
      </w:r>
    </w:p>
    <w:p w:rsidR="00045DC6" w:rsidRDefault="00F8691C">
      <w:pPr>
        <w:spacing w:after="324" w:line="252" w:lineRule="auto"/>
        <w:ind w:left="-5" w:right="0" w:hanging="10"/>
      </w:pPr>
      <w:r>
        <w:rPr>
          <w:b/>
          <w:sz w:val="16"/>
        </w:rPr>
        <w:t xml:space="preserve">Figure 6. </w:t>
      </w:r>
      <w:r>
        <w:rPr>
          <w:sz w:val="16"/>
        </w:rPr>
        <w:t xml:space="preserve">Normalized relative hydration values after application of different formulation </w:t>
      </w:r>
      <w:r>
        <w:rPr>
          <w:sz w:val="16"/>
        </w:rPr>
        <w:t xml:space="preserve">of SLN and NLC compared to control without </w:t>
      </w:r>
      <w:r>
        <w:rPr>
          <w:sz w:val="16"/>
        </w:rPr>
        <w:t xml:space="preserve">application of the product (n=6):(n=3 * </w:t>
      </w:r>
      <w:r>
        <w:rPr>
          <w:i/>
          <w:sz w:val="16"/>
        </w:rPr>
        <w:t>P</w:t>
      </w:r>
      <w:r>
        <w:rPr>
          <w:sz w:val="16"/>
        </w:rPr>
        <w:t>&lt;0.05, **</w:t>
      </w:r>
      <w:r>
        <w:rPr>
          <w:i/>
          <w:sz w:val="16"/>
        </w:rPr>
        <w:t xml:space="preserve"> P</w:t>
      </w:r>
      <w:r>
        <w:rPr>
          <w:sz w:val="16"/>
        </w:rPr>
        <w:t xml:space="preserve">&lt;0.01 and *** </w:t>
      </w:r>
      <w:r>
        <w:rPr>
          <w:i/>
          <w:sz w:val="16"/>
        </w:rPr>
        <w:t>P</w:t>
      </w:r>
      <w:r>
        <w:rPr>
          <w:sz w:val="16"/>
        </w:rPr>
        <w:t>&lt;0.001). SLN pp: Precirol®, Poloxamer with deionized water; SLN pp MAG: Precirol®, Poloxamer with magnetized water; NLC pp: Precirol®, Poloxamer w</w:t>
      </w:r>
      <w:r>
        <w:rPr>
          <w:sz w:val="16"/>
        </w:rPr>
        <w:t>ith deionized water; NLC pp MAG:Precirol®, Poloxamer with magnetized water</w:t>
      </w:r>
    </w:p>
    <w:p w:rsidR="00045DC6" w:rsidRDefault="00F8691C">
      <w:pPr>
        <w:ind w:left="-15" w:right="30" w:firstLine="0"/>
      </w:pPr>
      <w:r>
        <w:t xml:space="preserve">formulations can be attributed to several reasons: for </w:t>
      </w:r>
      <w:r>
        <w:t xml:space="preserve">example, the small particle sizes of the SLN and NLC formulations, their high specific surface area, as well as </w:t>
      </w:r>
      <w:r>
        <w:t>the presence o</w:t>
      </w:r>
      <w:r>
        <w:t xml:space="preserve">f a surfactant. The DSC thermogram of NLC prepared with magnetized water shows a sharper pick than the NLC prepared with deionized water; because when the water is passing between two magnetic poles, it will get magnetized and break its molecular clusters </w:t>
      </w:r>
      <w:r>
        <w:t xml:space="preserve">into smaller parts. This enables the molecules to penetrate the reactant particles of NLC, as a result of the presence of water between the reactants, which will weaken their internal molecular bond between NLC. </w:t>
      </w:r>
      <w:r>
        <w:t xml:space="preserve">Consequently, we expect the crystalline network of the </w:t>
      </w:r>
      <w:r>
        <w:t xml:space="preserve">NLC to collapse with less heat .This can be due to the </w:t>
      </w:r>
      <w:r>
        <w:t xml:space="preserve">change in the liquid lipid and solid lipid particles placed </w:t>
      </w:r>
      <w:r>
        <w:t>in the NLC formulations, smaller particles, and more regular structure produced by mag</w:t>
      </w:r>
      <w:r>
        <w:t xml:space="preserve">netized water. </w:t>
      </w:r>
    </w:p>
    <w:p w:rsidR="00045DC6" w:rsidRDefault="00F8691C">
      <w:pPr>
        <w:ind w:left="-15" w:right="30"/>
      </w:pPr>
      <w:r>
        <w:t>In various studies it has been shown that occlusion factor is affected by particle size, volume, concentration of sample, lipid crystallinity, and type of colloidal systems (18). In the present study, all formulations prepared with magnetiz</w:t>
      </w:r>
      <w:r>
        <w:t xml:space="preserve">ed water showed more occlusion properties than the formulations prepared with deionized water. The higher occlusion factor in magnetized water in SLN and NLC formulations is probably due to the smaller particle size, more regular </w:t>
      </w:r>
      <w:r>
        <w:t>lipid structure, greater p</w:t>
      </w:r>
      <w:r>
        <w:t xml:space="preserve">enetration in cellulosic filter pores, and consequently, the increased blockage of the filter compared to deionized water. These reasons also </w:t>
      </w:r>
      <w:r>
        <w:t xml:space="preserve">showed more moisturizing effects in the </w:t>
      </w:r>
      <w:r>
        <w:rPr>
          <w:i/>
        </w:rPr>
        <w:t>in vivo</w:t>
      </w:r>
      <w:r>
        <w:t xml:space="preserve"> method.</w:t>
      </w:r>
    </w:p>
    <w:p w:rsidR="00045DC6" w:rsidRDefault="00F8691C">
      <w:pPr>
        <w:ind w:left="-15" w:right="30"/>
      </w:pPr>
      <w:r>
        <w:t xml:space="preserve">In a study, Souto </w:t>
      </w:r>
      <w:r>
        <w:rPr>
          <w:i/>
        </w:rPr>
        <w:t>et al</w:t>
      </w:r>
      <w:r>
        <w:t>.  indicated that the amount of hyd</w:t>
      </w:r>
      <w:r>
        <w:t>ration of SLN is dependent upon the particle size, lipid concentration, and the crystallinity of lipid (18). Another study showed that SLN- CP (Cetyl palmitate) had more hydration than other formulations (SLN-GMS (glycerol monostearate) and SLN-P (Precirol</w:t>
      </w:r>
      <w:r>
        <w:t xml:space="preserve">®)), as the lipid crystallinity level of cetyl palmitate was more than the other lipids (16). In the current study, the highest </w:t>
      </w:r>
      <w:r>
        <w:t xml:space="preserve">moisture content at all time points (0.5, 1, 3, and 5 hr) </w:t>
      </w:r>
      <w:r>
        <w:t>was related to formulations prepared with magnetized water. When the l</w:t>
      </w:r>
      <w:r>
        <w:t xml:space="preserve">ipid particles are applied onto the </w:t>
      </w:r>
      <w:r>
        <w:t xml:space="preserve">skin, a film layer will be formed on it; the surface area </w:t>
      </w:r>
      <w:r>
        <w:t>of this layer depends on the particle size. If the particle size is too small, a smaller air channel will be formed, therefore, the hydrodynamic evaporation of wa</w:t>
      </w:r>
      <w:r>
        <w:t>ter will decrease. Also, in the presence of magnetized water, electrical conductivity as well as the moisture content of the skin increases.</w:t>
      </w:r>
    </w:p>
    <w:p w:rsidR="00045DC6" w:rsidRDefault="00F8691C">
      <w:pPr>
        <w:spacing w:after="263"/>
        <w:ind w:left="-15" w:right="30"/>
      </w:pPr>
      <w:r>
        <w:t xml:space="preserve">In recent years, magnetized water has made a lot of </w:t>
      </w:r>
      <w:r>
        <w:t>progress in different fields such as industry, medicine, and ag</w:t>
      </w:r>
      <w:r>
        <w:t xml:space="preserve">riculture (32). In a study, Hafizi </w:t>
      </w:r>
      <w:r>
        <w:rPr>
          <w:i/>
        </w:rPr>
        <w:t>et al</w:t>
      </w:r>
      <w:r>
        <w:t xml:space="preserve">. demonstrated that the mean number of corpora lutea and the height of epithelial cells in the fallopian tube were increased in pregnant female mice in the pre-implantation stage compared to the control group. Thus, </w:t>
      </w:r>
      <w:r>
        <w:t xml:space="preserve">magnetized water has been effective in the fertilizing of mice (33). As mentioned before, magnetized water has good effects </w:t>
      </w:r>
      <w:r>
        <w:t xml:space="preserve">in different fields. In the current study, SLN and NLC </w:t>
      </w:r>
      <w:r>
        <w:t>formulations prepared with magnetized water showed good properties. Thus, the</w:t>
      </w:r>
      <w:r>
        <w:t>y could be used as carriers for topical drug delivery.</w:t>
      </w:r>
    </w:p>
    <w:p w:rsidR="00045DC6" w:rsidRDefault="00F8691C">
      <w:pPr>
        <w:pStyle w:val="Heading1"/>
        <w:spacing w:before="0"/>
        <w:ind w:left="-5"/>
      </w:pPr>
      <w:r>
        <w:t>Conclusion</w:t>
      </w:r>
    </w:p>
    <w:p w:rsidR="00045DC6" w:rsidRDefault="00F8691C">
      <w:pPr>
        <w:spacing w:after="263"/>
        <w:ind w:left="-15" w:right="30"/>
      </w:pPr>
      <w:r>
        <w:t>The effects of magnetized water on SLN and NLC formulations were investigated in terms of particle size and moisturizing effects. All products prepared with magnetized water were more stable</w:t>
      </w:r>
      <w:r>
        <w:t xml:space="preserve">, smaller, and with more moisturizing effects compared with products prepared with deionized water. The results showed that in products prepared with magnetized water, the 5% SLN Precirol® had the most moisturizing effect by the </w:t>
      </w:r>
      <w:r>
        <w:rPr>
          <w:i/>
        </w:rPr>
        <w:t>in vivo</w:t>
      </w:r>
      <w:r>
        <w:t xml:space="preserve"> method, and the 5% </w:t>
      </w:r>
      <w:r>
        <w:t xml:space="preserve"> Compritol® SLN had the most moisturizing effect  by the </w:t>
      </w:r>
      <w:r>
        <w:rPr>
          <w:i/>
        </w:rPr>
        <w:t>in vitro</w:t>
      </w:r>
      <w:r>
        <w:t xml:space="preserve"> method. Among products prepared with deionized water, 5% Precirol® NLC and 5% Compritol® NLC had the highest moisturizing effects by </w:t>
      </w:r>
      <w:r>
        <w:rPr>
          <w:i/>
        </w:rPr>
        <w:t>in vitro</w:t>
      </w:r>
      <w:r>
        <w:t xml:space="preserve"> and </w:t>
      </w:r>
      <w:r>
        <w:rPr>
          <w:i/>
        </w:rPr>
        <w:t>in vivo</w:t>
      </w:r>
      <w:r>
        <w:t xml:space="preserve"> methods, respectively. Therefore, th</w:t>
      </w:r>
      <w:r>
        <w:t xml:space="preserve">e use of magnetized water in formulations can improve the effectiveness and increase the stability of moisturizing products. </w:t>
      </w:r>
    </w:p>
    <w:p w:rsidR="00045DC6" w:rsidRDefault="00F8691C">
      <w:pPr>
        <w:pStyle w:val="Heading1"/>
        <w:spacing w:before="0"/>
        <w:ind w:left="-5"/>
      </w:pPr>
      <w:r>
        <w:t>Acknowledgment</w:t>
      </w:r>
    </w:p>
    <w:p w:rsidR="00045DC6" w:rsidRDefault="00F8691C">
      <w:pPr>
        <w:spacing w:after="263"/>
        <w:ind w:left="-15" w:right="30"/>
      </w:pPr>
      <w:r>
        <w:t xml:space="preserve">The results presented in this paper were from a student thesis. The authors are grateful for partial </w:t>
      </w:r>
      <w:r>
        <w:t>support of thi</w:t>
      </w:r>
      <w:r>
        <w:t xml:space="preserve">s work (grant number 950929) by </w:t>
      </w:r>
      <w:r>
        <w:t>Nanotechnology Research Center of Mashhad University of Medical Sciences and Ferdowsi University of Mashhad Research Council, Mashhad, Iran.</w:t>
      </w:r>
    </w:p>
    <w:p w:rsidR="00045DC6" w:rsidRDefault="00F8691C">
      <w:pPr>
        <w:pStyle w:val="Heading1"/>
        <w:spacing w:before="0"/>
        <w:ind w:left="-5"/>
      </w:pPr>
      <w:r>
        <w:t>Conflicts of Interest</w:t>
      </w:r>
    </w:p>
    <w:p w:rsidR="00045DC6" w:rsidRDefault="00F8691C">
      <w:pPr>
        <w:spacing w:after="260" w:line="224" w:lineRule="auto"/>
        <w:ind w:left="-15" w:right="30"/>
      </w:pPr>
      <w:r>
        <w:t xml:space="preserve">The authors declare that there are no conflicts of </w:t>
      </w:r>
      <w:r>
        <w:t>interest.</w:t>
      </w:r>
    </w:p>
    <w:p w:rsidR="00045DC6" w:rsidRDefault="00F8691C">
      <w:pPr>
        <w:pStyle w:val="Heading1"/>
        <w:spacing w:before="0"/>
        <w:ind w:left="-5"/>
      </w:pPr>
      <w:r>
        <w:t>References</w:t>
      </w:r>
    </w:p>
    <w:p w:rsidR="00045DC6" w:rsidRDefault="00F8691C">
      <w:pPr>
        <w:numPr>
          <w:ilvl w:val="0"/>
          <w:numId w:val="3"/>
        </w:numPr>
        <w:spacing w:after="4" w:line="248" w:lineRule="auto"/>
        <w:ind w:right="0" w:hanging="10"/>
      </w:pPr>
      <w:r>
        <w:rPr>
          <w:sz w:val="18"/>
        </w:rPr>
        <w:t xml:space="preserve">Wan DC, Wong VW, Longaker MT, Yang GP, Wei F-C. Moisturizing different racial skin types. J Clin Aesthet Dermatol </w:t>
      </w:r>
      <w:r>
        <w:rPr>
          <w:sz w:val="18"/>
        </w:rPr>
        <w:t>2014;7:25-32.</w:t>
      </w:r>
    </w:p>
    <w:p w:rsidR="00045DC6" w:rsidRDefault="00F8691C">
      <w:pPr>
        <w:numPr>
          <w:ilvl w:val="0"/>
          <w:numId w:val="3"/>
        </w:numPr>
        <w:spacing w:after="4" w:line="248" w:lineRule="auto"/>
        <w:ind w:right="0" w:hanging="10"/>
      </w:pPr>
      <w:r>
        <w:rPr>
          <w:sz w:val="18"/>
        </w:rPr>
        <w:t xml:space="preserve">Derakhshanfar A, Moayedi J, Derakhshanfar G, Fard AP. </w:t>
      </w:r>
      <w:r>
        <w:rPr>
          <w:sz w:val="18"/>
        </w:rPr>
        <w:t xml:space="preserve">The role of Iranian medicinal plants in experimental surgical </w:t>
      </w:r>
      <w:r>
        <w:rPr>
          <w:sz w:val="18"/>
        </w:rPr>
        <w:t>s</w:t>
      </w:r>
      <w:r>
        <w:rPr>
          <w:sz w:val="18"/>
        </w:rPr>
        <w:t xml:space="preserve">kin wound healing: An integrative review. Indian J Pharm Sci </w:t>
      </w:r>
      <w:r>
        <w:rPr>
          <w:sz w:val="18"/>
        </w:rPr>
        <w:t>2009;71:349-358.</w:t>
      </w:r>
    </w:p>
    <w:p w:rsidR="00045DC6" w:rsidRDefault="00F8691C">
      <w:pPr>
        <w:numPr>
          <w:ilvl w:val="0"/>
          <w:numId w:val="3"/>
        </w:numPr>
        <w:spacing w:after="4" w:line="248" w:lineRule="auto"/>
        <w:ind w:right="0" w:hanging="10"/>
      </w:pPr>
      <w:r>
        <w:rPr>
          <w:sz w:val="18"/>
        </w:rPr>
        <w:t xml:space="preserve">Mukherjee S, Ray S, Thakur R. Solid lipid nanoparticles: a modern formulation approach in drug delivery system. Eurocosmetics 1998;7:19-26. </w:t>
      </w:r>
    </w:p>
    <w:p w:rsidR="00045DC6" w:rsidRDefault="00F8691C">
      <w:pPr>
        <w:numPr>
          <w:ilvl w:val="0"/>
          <w:numId w:val="3"/>
        </w:numPr>
        <w:spacing w:after="4" w:line="248" w:lineRule="auto"/>
        <w:ind w:right="0" w:hanging="10"/>
      </w:pPr>
      <w:r>
        <w:rPr>
          <w:sz w:val="18"/>
        </w:rPr>
        <w:t>Wissing SA, Müller RH. Cosmetic appli</w:t>
      </w:r>
      <w:r>
        <w:rPr>
          <w:sz w:val="18"/>
        </w:rPr>
        <w:t xml:space="preserve">cations for solid lipid </w:t>
      </w:r>
      <w:r>
        <w:rPr>
          <w:sz w:val="18"/>
        </w:rPr>
        <w:t>nanoparticles (SLN). Int J Pharmaceut 2003;254:65-68.</w:t>
      </w:r>
    </w:p>
    <w:p w:rsidR="00045DC6" w:rsidRDefault="00F8691C">
      <w:pPr>
        <w:numPr>
          <w:ilvl w:val="0"/>
          <w:numId w:val="3"/>
        </w:numPr>
        <w:spacing w:after="4" w:line="248" w:lineRule="auto"/>
        <w:ind w:right="0" w:hanging="10"/>
      </w:pPr>
      <w:r>
        <w:rPr>
          <w:sz w:val="18"/>
        </w:rPr>
        <w:t xml:space="preserve">Zur Mühlen A, Mehnert W. Drug release and release mechanism of prednisolone loaded solid lipid nanoparticles. </w:t>
      </w:r>
    </w:p>
    <w:p w:rsidR="00045DC6" w:rsidRDefault="00F8691C">
      <w:pPr>
        <w:spacing w:after="4" w:line="248" w:lineRule="auto"/>
        <w:ind w:left="-5" w:right="0" w:hanging="10"/>
      </w:pPr>
      <w:r>
        <w:rPr>
          <w:sz w:val="18"/>
        </w:rPr>
        <w:t>Pharmazie 1998;53:552-555.</w:t>
      </w:r>
    </w:p>
    <w:p w:rsidR="00045DC6" w:rsidRDefault="00F8691C">
      <w:pPr>
        <w:numPr>
          <w:ilvl w:val="0"/>
          <w:numId w:val="3"/>
        </w:numPr>
        <w:spacing w:after="4" w:line="248" w:lineRule="auto"/>
        <w:ind w:right="0" w:hanging="10"/>
      </w:pPr>
      <w:r>
        <w:rPr>
          <w:sz w:val="18"/>
        </w:rPr>
        <w:t xml:space="preserve">Ahangarpour A, Oroojan AA, Khorsandi L, </w:t>
      </w:r>
      <w:r>
        <w:rPr>
          <w:sz w:val="18"/>
        </w:rPr>
        <w:t xml:space="preserve">Kouchak M, </w:t>
      </w:r>
      <w:r>
        <w:rPr>
          <w:sz w:val="18"/>
        </w:rPr>
        <w:t xml:space="preserve">Badavi M. Antioxidant, anti-apoptotic, and protective effects of </w:t>
      </w:r>
      <w:r>
        <w:rPr>
          <w:sz w:val="18"/>
        </w:rPr>
        <w:t xml:space="preserve">myricitrin and its solid lipid nanoparticle on streptozotocinnicotinamide-induced diabetic nephropathy in type 2 diabetic </w:t>
      </w:r>
      <w:r>
        <w:rPr>
          <w:sz w:val="18"/>
        </w:rPr>
        <w:t>male mice. Iran J Basic Med Sci 2019;22:1424-1431.</w:t>
      </w:r>
    </w:p>
    <w:p w:rsidR="00045DC6" w:rsidRDefault="00F8691C">
      <w:pPr>
        <w:numPr>
          <w:ilvl w:val="0"/>
          <w:numId w:val="3"/>
        </w:numPr>
        <w:spacing w:after="4" w:line="248" w:lineRule="auto"/>
        <w:ind w:right="0" w:hanging="10"/>
      </w:pPr>
      <w:r>
        <w:rPr>
          <w:sz w:val="18"/>
        </w:rPr>
        <w:t>Wissing</w:t>
      </w:r>
      <w:r>
        <w:rPr>
          <w:sz w:val="18"/>
        </w:rPr>
        <w:t xml:space="preserve"> S, Müller R. Solid lipid nanoparticles as carrier for sunscreens: </w:t>
      </w:r>
      <w:r>
        <w:rPr>
          <w:i/>
          <w:sz w:val="18"/>
        </w:rPr>
        <w:t>in vitro</w:t>
      </w:r>
      <w:r>
        <w:rPr>
          <w:sz w:val="18"/>
        </w:rPr>
        <w:t xml:space="preserve"> release and </w:t>
      </w:r>
      <w:r>
        <w:rPr>
          <w:i/>
          <w:sz w:val="18"/>
        </w:rPr>
        <w:t>in vivo</w:t>
      </w:r>
      <w:r>
        <w:rPr>
          <w:sz w:val="18"/>
        </w:rPr>
        <w:t xml:space="preserve"> skin penetration. J </w:t>
      </w:r>
      <w:r>
        <w:rPr>
          <w:sz w:val="18"/>
        </w:rPr>
        <w:t>Control Release 2002;81:225-233.</w:t>
      </w:r>
    </w:p>
    <w:p w:rsidR="00045DC6" w:rsidRDefault="00F8691C">
      <w:pPr>
        <w:numPr>
          <w:ilvl w:val="0"/>
          <w:numId w:val="3"/>
        </w:numPr>
        <w:spacing w:after="4" w:line="248" w:lineRule="auto"/>
        <w:ind w:right="0" w:hanging="10"/>
      </w:pPr>
      <w:r>
        <w:rPr>
          <w:sz w:val="18"/>
        </w:rPr>
        <w:t xml:space="preserve">Müller R, Dingler A. The next generation after the liposomes: </w:t>
      </w:r>
      <w:r>
        <w:rPr>
          <w:sz w:val="18"/>
        </w:rPr>
        <w:t>solid lipid nanoparticles (SLN, Lipopearls) a</w:t>
      </w:r>
      <w:r>
        <w:rPr>
          <w:sz w:val="18"/>
        </w:rPr>
        <w:t>s dermal carrier in cosmetics. Eurocosmetics 1998;7:19-26.</w:t>
      </w:r>
    </w:p>
    <w:p w:rsidR="00045DC6" w:rsidRDefault="00F8691C">
      <w:pPr>
        <w:numPr>
          <w:ilvl w:val="0"/>
          <w:numId w:val="3"/>
        </w:numPr>
        <w:spacing w:after="0" w:line="237" w:lineRule="auto"/>
        <w:ind w:right="0" w:hanging="10"/>
      </w:pPr>
      <w:r>
        <w:rPr>
          <w:sz w:val="18"/>
        </w:rPr>
        <w:t>Barry B. Drug delivery routes in skin: a novel approach. Adv Drug Deliv Rev 2002;54:S31-S40.</w:t>
      </w:r>
    </w:p>
    <w:p w:rsidR="00045DC6" w:rsidRDefault="00F8691C">
      <w:pPr>
        <w:numPr>
          <w:ilvl w:val="0"/>
          <w:numId w:val="3"/>
        </w:numPr>
        <w:spacing w:after="0" w:line="237" w:lineRule="auto"/>
        <w:ind w:right="0" w:hanging="10"/>
      </w:pPr>
      <w:r>
        <w:rPr>
          <w:sz w:val="18"/>
        </w:rPr>
        <w:t xml:space="preserve">Patel D, Dasgupta S, Dey S, Roja Ramani Y, Ray S, Mazumder B. Nanostructured lipid carriers (NLC)-based gel for the </w:t>
      </w:r>
      <w:r>
        <w:rPr>
          <w:sz w:val="18"/>
        </w:rPr>
        <w:t xml:space="preserve">topical delivery of aceclofenac: preparation, characterization, and </w:t>
      </w:r>
      <w:r>
        <w:rPr>
          <w:i/>
          <w:sz w:val="18"/>
        </w:rPr>
        <w:t>in vivo</w:t>
      </w:r>
      <w:r>
        <w:rPr>
          <w:sz w:val="18"/>
        </w:rPr>
        <w:t xml:space="preserve"> evaluation. Sci Pharm 2012;80:749-764.</w:t>
      </w:r>
    </w:p>
    <w:p w:rsidR="00045DC6" w:rsidRDefault="00F8691C">
      <w:pPr>
        <w:numPr>
          <w:ilvl w:val="0"/>
          <w:numId w:val="3"/>
        </w:numPr>
        <w:spacing w:after="4" w:line="248" w:lineRule="auto"/>
        <w:ind w:right="0" w:hanging="10"/>
      </w:pPr>
      <w:r>
        <w:rPr>
          <w:sz w:val="18"/>
        </w:rPr>
        <w:t>Mehnert W, Mäder K. Solid</w:t>
      </w:r>
      <w:r>
        <w:rPr>
          <w:sz w:val="18"/>
        </w:rPr>
        <w:t xml:space="preserve"> lipid nanoparticles: production, characterization and applications. Adv drug Deliv Rev </w:t>
      </w:r>
      <w:r>
        <w:rPr>
          <w:sz w:val="18"/>
        </w:rPr>
        <w:t>2012;64:83-101.</w:t>
      </w:r>
    </w:p>
    <w:p w:rsidR="00045DC6" w:rsidRDefault="00F8691C">
      <w:pPr>
        <w:numPr>
          <w:ilvl w:val="0"/>
          <w:numId w:val="3"/>
        </w:numPr>
        <w:spacing w:after="4" w:line="248" w:lineRule="auto"/>
        <w:ind w:right="0" w:hanging="10"/>
      </w:pPr>
      <w:r>
        <w:rPr>
          <w:sz w:val="18"/>
        </w:rPr>
        <w:t xml:space="preserve">Souto E, Müller R. Cosmetic features and applications of lipid nanoparticles (SLN®, NLC®). Int J Cosmet Sci </w:t>
      </w:r>
      <w:r>
        <w:rPr>
          <w:sz w:val="18"/>
        </w:rPr>
        <w:t>2008;30:157-165.</w:t>
      </w:r>
    </w:p>
    <w:p w:rsidR="00045DC6" w:rsidRDefault="00F8691C">
      <w:pPr>
        <w:numPr>
          <w:ilvl w:val="0"/>
          <w:numId w:val="3"/>
        </w:numPr>
        <w:spacing w:after="0" w:line="237" w:lineRule="auto"/>
        <w:ind w:right="0" w:hanging="10"/>
      </w:pPr>
      <w:r>
        <w:rPr>
          <w:sz w:val="18"/>
        </w:rPr>
        <w:t>Ameri M, Aminshahidy B, Gho</w:t>
      </w:r>
      <w:r>
        <w:rPr>
          <w:sz w:val="18"/>
        </w:rPr>
        <w:t xml:space="preserve">lizadeh M. Influence and application of an external variable magnetic field on the aqueous HCl solution behavior: experimental study and </w:t>
      </w:r>
      <w:r>
        <w:rPr>
          <w:sz w:val="18"/>
        </w:rPr>
        <w:t xml:space="preserve">modelling using the taguchi method. Appl Chem Eng J </w:t>
      </w:r>
      <w:r>
        <w:rPr>
          <w:sz w:val="18"/>
        </w:rPr>
        <w:t>2018;29:215-224.</w:t>
      </w:r>
    </w:p>
    <w:p w:rsidR="00045DC6" w:rsidRDefault="00F8691C">
      <w:pPr>
        <w:numPr>
          <w:ilvl w:val="0"/>
          <w:numId w:val="3"/>
        </w:numPr>
        <w:spacing w:after="0" w:line="237" w:lineRule="auto"/>
        <w:ind w:right="0" w:hanging="10"/>
      </w:pPr>
      <w:r>
        <w:rPr>
          <w:sz w:val="18"/>
        </w:rPr>
        <w:t>Rashidi H, Ahmadpour A, Gholizadeh M, Bamoharram F</w:t>
      </w:r>
      <w:r>
        <w:rPr>
          <w:sz w:val="18"/>
        </w:rPr>
        <w:t xml:space="preserve">F, </w:t>
      </w:r>
      <w:r>
        <w:rPr>
          <w:sz w:val="18"/>
        </w:rPr>
        <w:t xml:space="preserve">Moosavi F. Effect of magnetized ethanol on the shape evolution </w:t>
      </w:r>
      <w:r>
        <w:rPr>
          <w:sz w:val="18"/>
        </w:rPr>
        <w:t xml:space="preserve">of zinc oxide from nanoparticles to microrods: experimental </w:t>
      </w:r>
      <w:r>
        <w:rPr>
          <w:sz w:val="18"/>
        </w:rPr>
        <w:t xml:space="preserve">and molecular dynamic simulation study. Adv Powder Technol </w:t>
      </w:r>
      <w:r>
        <w:rPr>
          <w:sz w:val="18"/>
        </w:rPr>
        <w:t>2018;29:349-358.</w:t>
      </w:r>
    </w:p>
    <w:p w:rsidR="00045DC6" w:rsidRDefault="00F8691C">
      <w:pPr>
        <w:numPr>
          <w:ilvl w:val="0"/>
          <w:numId w:val="3"/>
        </w:numPr>
        <w:spacing w:after="0" w:line="237" w:lineRule="auto"/>
        <w:ind w:right="0" w:hanging="10"/>
      </w:pPr>
      <w:r>
        <w:rPr>
          <w:sz w:val="18"/>
        </w:rPr>
        <w:t xml:space="preserve">Esmaeilnezhad E, Choi HJ, Schaffie M, Gholizadeh M, </w:t>
      </w:r>
      <w:r>
        <w:rPr>
          <w:sz w:val="18"/>
        </w:rPr>
        <w:t>Ra</w:t>
      </w:r>
      <w:r>
        <w:rPr>
          <w:sz w:val="18"/>
        </w:rPr>
        <w:t xml:space="preserve">njbar M. Characteristics and applications of magnetized </w:t>
      </w:r>
      <w:r>
        <w:rPr>
          <w:sz w:val="18"/>
        </w:rPr>
        <w:t>water as a green technology. J Clean Prod 2017;161:908-921.</w:t>
      </w:r>
    </w:p>
    <w:p w:rsidR="00045DC6" w:rsidRDefault="00F8691C">
      <w:pPr>
        <w:numPr>
          <w:ilvl w:val="0"/>
          <w:numId w:val="3"/>
        </w:numPr>
        <w:spacing w:after="4" w:line="248" w:lineRule="auto"/>
        <w:ind w:right="0" w:hanging="10"/>
      </w:pPr>
      <w:r>
        <w:rPr>
          <w:sz w:val="18"/>
        </w:rPr>
        <w:t xml:space="preserve">Golmohammadzadeh S, Mokhtari M, Jaafari MR. Preparation, characterization and evaluation of moisturizing and UV </w:t>
      </w:r>
      <w:r>
        <w:rPr>
          <w:sz w:val="18"/>
        </w:rPr>
        <w:t>protecting effects of topica</w:t>
      </w:r>
      <w:r>
        <w:rPr>
          <w:sz w:val="18"/>
        </w:rPr>
        <w:t>l solid lipid nanoparticles. Braz J Pharm Sci 2012;48:683-690.</w:t>
      </w:r>
    </w:p>
    <w:p w:rsidR="00045DC6" w:rsidRDefault="00F8691C">
      <w:pPr>
        <w:numPr>
          <w:ilvl w:val="0"/>
          <w:numId w:val="3"/>
        </w:numPr>
        <w:spacing w:after="4" w:line="248" w:lineRule="auto"/>
        <w:ind w:right="0" w:hanging="10"/>
      </w:pPr>
      <w:r>
        <w:rPr>
          <w:sz w:val="18"/>
        </w:rPr>
        <w:t xml:space="preserve">Kumar VV, Chandrasekar D, Ramakrishna S, Kishan V, Rao YM, Diwan PV. Development and evaluation of nitrendipine loaded </w:t>
      </w:r>
      <w:r>
        <w:rPr>
          <w:sz w:val="18"/>
        </w:rPr>
        <w:t xml:space="preserve">solid lipid nanoparticles: influence of wax and glyceride lipids on plasma pharmacokinetics. Int J Pharm 2007;335:167-175. </w:t>
      </w:r>
    </w:p>
    <w:p w:rsidR="00045DC6" w:rsidRDefault="00F8691C">
      <w:pPr>
        <w:numPr>
          <w:ilvl w:val="0"/>
          <w:numId w:val="3"/>
        </w:numPr>
        <w:spacing w:after="0" w:line="237" w:lineRule="auto"/>
        <w:ind w:right="0" w:hanging="10"/>
      </w:pPr>
      <w:r>
        <w:rPr>
          <w:sz w:val="18"/>
        </w:rPr>
        <w:t xml:space="preserve">Souto E, Wissing S, Barbosa C, Müller R. Development of </w:t>
      </w:r>
      <w:r>
        <w:rPr>
          <w:sz w:val="18"/>
        </w:rPr>
        <w:t xml:space="preserve">a controlled release formulation based on SLN and NLC for </w:t>
      </w:r>
      <w:r>
        <w:rPr>
          <w:sz w:val="18"/>
        </w:rPr>
        <w:t>topical clotrimazo</w:t>
      </w:r>
      <w:r>
        <w:rPr>
          <w:sz w:val="18"/>
        </w:rPr>
        <w:t xml:space="preserve">le delivery. Int  J Pharm 2004;278:71-77. 19. Khameneh B, Halimi V, Jaafari MR, Golmohammadzadeh </w:t>
      </w:r>
      <w:r>
        <w:rPr>
          <w:sz w:val="18"/>
        </w:rPr>
        <w:t xml:space="preserve">S. Safranal-loaded solid lipid nanoparticles: evaluation of sunscreen and moisturizing potential for topical applications. </w:t>
      </w:r>
      <w:r>
        <w:rPr>
          <w:sz w:val="18"/>
        </w:rPr>
        <w:t>Iran J  Basic Med Sci 2015;18:58-63.</w:t>
      </w:r>
    </w:p>
    <w:p w:rsidR="00045DC6" w:rsidRDefault="00F8691C">
      <w:pPr>
        <w:numPr>
          <w:ilvl w:val="0"/>
          <w:numId w:val="4"/>
        </w:numPr>
        <w:spacing w:after="0" w:line="237" w:lineRule="auto"/>
        <w:ind w:right="0" w:hanging="10"/>
      </w:pPr>
      <w:r>
        <w:rPr>
          <w:sz w:val="18"/>
        </w:rPr>
        <w:t xml:space="preserve">Mosallaei N, Jaafari MR, Hanafi-Bojd MY, Golmohammadzadeh S, Malaekeh-Nikouei B. Docetaxel-loaded solid lipid nanoparticles: </w:t>
      </w:r>
      <w:r>
        <w:rPr>
          <w:sz w:val="18"/>
        </w:rPr>
        <w:t xml:space="preserve">preparation, characterization, </w:t>
      </w:r>
      <w:r>
        <w:rPr>
          <w:i/>
          <w:sz w:val="18"/>
        </w:rPr>
        <w:t>in vitro</w:t>
      </w:r>
      <w:r>
        <w:rPr>
          <w:sz w:val="18"/>
        </w:rPr>
        <w:t xml:space="preserve">, and </w:t>
      </w:r>
      <w:r>
        <w:rPr>
          <w:i/>
          <w:sz w:val="18"/>
        </w:rPr>
        <w:t>in vivo</w:t>
      </w:r>
      <w:r>
        <w:rPr>
          <w:sz w:val="18"/>
        </w:rPr>
        <w:t xml:space="preserve"> evaluations. J </w:t>
      </w:r>
      <w:r>
        <w:rPr>
          <w:sz w:val="18"/>
        </w:rPr>
        <w:t>Pharm Sci 2013;102:1994-2004.</w:t>
      </w:r>
    </w:p>
    <w:p w:rsidR="00045DC6" w:rsidRDefault="00F8691C">
      <w:pPr>
        <w:numPr>
          <w:ilvl w:val="0"/>
          <w:numId w:val="4"/>
        </w:numPr>
        <w:spacing w:after="0" w:line="237" w:lineRule="auto"/>
        <w:ind w:right="0" w:hanging="10"/>
      </w:pPr>
      <w:r>
        <w:rPr>
          <w:sz w:val="18"/>
        </w:rPr>
        <w:t>Eshaghi Z, Gholizadeh M. The eff</w:t>
      </w:r>
      <w:r>
        <w:rPr>
          <w:sz w:val="18"/>
        </w:rPr>
        <w:t>ect of magnetic field on the stability of (18-crown-6) complexes with potassium ion. Talanta 2004;64:558-561.</w:t>
      </w:r>
    </w:p>
    <w:p w:rsidR="00045DC6" w:rsidRDefault="00F8691C">
      <w:pPr>
        <w:numPr>
          <w:ilvl w:val="0"/>
          <w:numId w:val="4"/>
        </w:numPr>
        <w:spacing w:after="0" w:line="237" w:lineRule="auto"/>
        <w:ind w:right="0" w:hanging="10"/>
      </w:pPr>
      <w:r>
        <w:rPr>
          <w:sz w:val="18"/>
        </w:rPr>
        <w:t>Khameneh B, Iranshahy M, Ghandadi M, Ghoochi Atashbeyk D, Fazly Bazzaz BS, Iranshahi M. Investigation of the antibacterial activity and efflux pum</w:t>
      </w:r>
      <w:r>
        <w:rPr>
          <w:sz w:val="18"/>
        </w:rPr>
        <w:t xml:space="preserve">p inhibitory effect of co-loaded piperine </w:t>
      </w:r>
      <w:r>
        <w:rPr>
          <w:sz w:val="18"/>
        </w:rPr>
        <w:t xml:space="preserve">and gentamicin nanoliposomes in methicillin-resistant </w:t>
      </w:r>
      <w:r>
        <w:rPr>
          <w:i/>
          <w:sz w:val="18"/>
        </w:rPr>
        <w:t>Staphylococcus aureus</w:t>
      </w:r>
      <w:r>
        <w:rPr>
          <w:sz w:val="18"/>
        </w:rPr>
        <w:t>. Drug Dev Ind Pharm 2015; 41: 989-994.</w:t>
      </w:r>
    </w:p>
    <w:p w:rsidR="00045DC6" w:rsidRDefault="00F8691C">
      <w:pPr>
        <w:numPr>
          <w:ilvl w:val="0"/>
          <w:numId w:val="4"/>
        </w:numPr>
        <w:spacing w:after="4" w:line="248" w:lineRule="auto"/>
        <w:ind w:right="0" w:hanging="10"/>
      </w:pPr>
      <w:r>
        <w:rPr>
          <w:sz w:val="18"/>
        </w:rPr>
        <w:t xml:space="preserve">Jores K, Mehnert W, Drechsler M, Bunjes H, Johann </w:t>
      </w:r>
      <w:r>
        <w:rPr>
          <w:sz w:val="18"/>
        </w:rPr>
        <w:t>C, Mäder K. Investigations on the structure of so</w:t>
      </w:r>
      <w:r>
        <w:rPr>
          <w:sz w:val="18"/>
        </w:rPr>
        <w:t xml:space="preserve">lid lipid nanoparticles (SLN) and oil-loaded solid lipid nanoparticles </w:t>
      </w:r>
      <w:r>
        <w:rPr>
          <w:sz w:val="18"/>
        </w:rPr>
        <w:t xml:space="preserve">by photon correlation spectroscopy, field-flow fractionation </w:t>
      </w:r>
      <w:r>
        <w:rPr>
          <w:sz w:val="18"/>
        </w:rPr>
        <w:t xml:space="preserve">and transmission electron microscopy. J Control Release </w:t>
      </w:r>
      <w:r>
        <w:rPr>
          <w:sz w:val="18"/>
        </w:rPr>
        <w:t>2004;95:217-227.</w:t>
      </w:r>
    </w:p>
    <w:p w:rsidR="00045DC6" w:rsidRDefault="00F8691C">
      <w:pPr>
        <w:numPr>
          <w:ilvl w:val="0"/>
          <w:numId w:val="4"/>
        </w:numPr>
        <w:spacing w:after="0" w:line="237" w:lineRule="auto"/>
        <w:ind w:right="0" w:hanging="10"/>
      </w:pPr>
      <w:r>
        <w:rPr>
          <w:sz w:val="18"/>
        </w:rPr>
        <w:t>Fazly Bazzaz BS, Khameneh B, Zarei H, Golmohammadza</w:t>
      </w:r>
      <w:r>
        <w:rPr>
          <w:sz w:val="18"/>
        </w:rPr>
        <w:t xml:space="preserve">deh Sh. Antibacterial efficacy of rifampin loaded solid lipid </w:t>
      </w:r>
      <w:r>
        <w:rPr>
          <w:sz w:val="18"/>
        </w:rPr>
        <w:t xml:space="preserve">nanoparticles against </w:t>
      </w:r>
      <w:r>
        <w:rPr>
          <w:i/>
          <w:sz w:val="18"/>
        </w:rPr>
        <w:t>Staphylococcus epidermidis</w:t>
      </w:r>
      <w:r>
        <w:rPr>
          <w:sz w:val="18"/>
        </w:rPr>
        <w:t xml:space="preserve"> biofilm. Microb Pathog 2016;93:137-144.</w:t>
      </w:r>
    </w:p>
    <w:p w:rsidR="00045DC6" w:rsidRDefault="00F8691C">
      <w:pPr>
        <w:numPr>
          <w:ilvl w:val="0"/>
          <w:numId w:val="4"/>
        </w:numPr>
        <w:spacing w:after="0" w:line="237" w:lineRule="auto"/>
        <w:ind w:right="0" w:hanging="10"/>
      </w:pPr>
      <w:r>
        <w:rPr>
          <w:sz w:val="18"/>
        </w:rPr>
        <w:t xml:space="preserve">Wissing S, Müller R. The influence of the crystallinity of </w:t>
      </w:r>
      <w:r>
        <w:rPr>
          <w:sz w:val="18"/>
        </w:rPr>
        <w:t>lipid nanoparticles on their occlusive propert</w:t>
      </w:r>
      <w:r>
        <w:rPr>
          <w:sz w:val="18"/>
        </w:rPr>
        <w:t xml:space="preserve">ies. Int J Pharm </w:t>
      </w:r>
      <w:r>
        <w:rPr>
          <w:sz w:val="18"/>
        </w:rPr>
        <w:t>2002;242:377-379.</w:t>
      </w:r>
    </w:p>
    <w:p w:rsidR="00045DC6" w:rsidRDefault="00F8691C">
      <w:pPr>
        <w:numPr>
          <w:ilvl w:val="0"/>
          <w:numId w:val="4"/>
        </w:numPr>
        <w:spacing w:after="4" w:line="248" w:lineRule="auto"/>
        <w:ind w:right="0" w:hanging="10"/>
      </w:pPr>
      <w:r>
        <w:rPr>
          <w:sz w:val="18"/>
        </w:rPr>
        <w:t xml:space="preserve">Sator PG, Schmidt JB, Hönigsmann H. Comparison of </w:t>
      </w:r>
      <w:r>
        <w:rPr>
          <w:sz w:val="18"/>
        </w:rPr>
        <w:t xml:space="preserve">epidermal hydration and skin surface lipids in healthy individuals and in patients with atopic dermatitis. J Am Acad </w:t>
      </w:r>
      <w:r>
        <w:rPr>
          <w:sz w:val="18"/>
        </w:rPr>
        <w:t>Dermatol 2003;48:352-358.</w:t>
      </w:r>
    </w:p>
    <w:p w:rsidR="00045DC6" w:rsidRDefault="00F8691C">
      <w:pPr>
        <w:numPr>
          <w:ilvl w:val="0"/>
          <w:numId w:val="4"/>
        </w:numPr>
        <w:spacing w:after="4" w:line="248" w:lineRule="auto"/>
        <w:ind w:right="0" w:hanging="10"/>
      </w:pPr>
      <w:r>
        <w:rPr>
          <w:sz w:val="18"/>
        </w:rPr>
        <w:t>Golmohammadzadeh S, Imani F,</w:t>
      </w:r>
      <w:r>
        <w:rPr>
          <w:sz w:val="18"/>
        </w:rPr>
        <w:t xml:space="preserve"> Hosseinzadeh H, Jaafari MR. Preparation, characterization and evaluation of sun protective and moisturizing effects of nanoliposomes containing safranal. </w:t>
      </w:r>
      <w:r>
        <w:rPr>
          <w:sz w:val="18"/>
        </w:rPr>
        <w:t>Iran J Basic Medical Sci 2011;14:521-531.</w:t>
      </w:r>
    </w:p>
    <w:p w:rsidR="00045DC6" w:rsidRDefault="00F8691C">
      <w:pPr>
        <w:numPr>
          <w:ilvl w:val="0"/>
          <w:numId w:val="4"/>
        </w:numPr>
        <w:spacing w:after="0" w:line="237" w:lineRule="auto"/>
        <w:ind w:right="0" w:hanging="10"/>
      </w:pPr>
      <w:r>
        <w:rPr>
          <w:sz w:val="18"/>
        </w:rPr>
        <w:t>Alimi F, Tlili M, Amor MB, Maurin G, Gabrielli C. Influence</w:t>
      </w:r>
      <w:r>
        <w:rPr>
          <w:sz w:val="18"/>
        </w:rPr>
        <w:t xml:space="preserve"> of magnetic field on calcium carbonate precipitation in </w:t>
      </w:r>
      <w:r>
        <w:rPr>
          <w:sz w:val="18"/>
        </w:rPr>
        <w:t xml:space="preserve">the presence of foreign ions. Sur Eng Appl Electrochem </w:t>
      </w:r>
      <w:r>
        <w:rPr>
          <w:sz w:val="18"/>
        </w:rPr>
        <w:t>2009;45:56-62.</w:t>
      </w:r>
    </w:p>
    <w:p w:rsidR="00045DC6" w:rsidRDefault="00F8691C">
      <w:pPr>
        <w:numPr>
          <w:ilvl w:val="0"/>
          <w:numId w:val="4"/>
        </w:numPr>
        <w:spacing w:after="4" w:line="248" w:lineRule="auto"/>
        <w:ind w:right="0" w:hanging="10"/>
      </w:pPr>
      <w:r>
        <w:rPr>
          <w:sz w:val="18"/>
        </w:rPr>
        <w:t xml:space="preserve">Levy M, Schutze W, Fuhrer C, Benita S. Characterization of </w:t>
      </w:r>
      <w:r>
        <w:rPr>
          <w:sz w:val="18"/>
        </w:rPr>
        <w:t>diazepam submicron emulsion interface: role of oleic acid. J Microenca</w:t>
      </w:r>
      <w:r>
        <w:rPr>
          <w:sz w:val="18"/>
        </w:rPr>
        <w:t>psul 1994;11:79-92.</w:t>
      </w:r>
    </w:p>
    <w:p w:rsidR="00045DC6" w:rsidRDefault="00F8691C">
      <w:pPr>
        <w:numPr>
          <w:ilvl w:val="0"/>
          <w:numId w:val="4"/>
        </w:numPr>
        <w:spacing w:after="0" w:line="237" w:lineRule="auto"/>
        <w:ind w:right="0" w:hanging="10"/>
      </w:pPr>
      <w:r>
        <w:rPr>
          <w:sz w:val="18"/>
        </w:rPr>
        <w:t>Chibowski E, Szcześ A. Magnetic water treatment–A review of the latest approaches. Chemosphere 2018;203:54-67.</w:t>
      </w:r>
    </w:p>
    <w:p w:rsidR="00045DC6" w:rsidRDefault="00F8691C">
      <w:pPr>
        <w:numPr>
          <w:ilvl w:val="0"/>
          <w:numId w:val="4"/>
        </w:numPr>
        <w:spacing w:after="0" w:line="237" w:lineRule="auto"/>
        <w:ind w:right="0" w:hanging="10"/>
      </w:pPr>
      <w:r>
        <w:rPr>
          <w:sz w:val="18"/>
        </w:rPr>
        <w:t xml:space="preserve">Koshoridze S, Levin YK. The influence of a magnetic field </w:t>
      </w:r>
      <w:r>
        <w:rPr>
          <w:sz w:val="18"/>
        </w:rPr>
        <w:t xml:space="preserve">on the coagulation of nanosized colloid particles. Technical </w:t>
      </w:r>
      <w:r>
        <w:rPr>
          <w:sz w:val="18"/>
        </w:rPr>
        <w:t>Physic</w:t>
      </w:r>
      <w:r>
        <w:rPr>
          <w:sz w:val="18"/>
        </w:rPr>
        <w:t>s Letters 2014;40:716-719.</w:t>
      </w:r>
    </w:p>
    <w:p w:rsidR="00045DC6" w:rsidRDefault="00F8691C">
      <w:pPr>
        <w:numPr>
          <w:ilvl w:val="0"/>
          <w:numId w:val="4"/>
        </w:numPr>
        <w:spacing w:after="4" w:line="248" w:lineRule="auto"/>
        <w:ind w:right="0" w:hanging="10"/>
      </w:pPr>
      <w:r>
        <w:rPr>
          <w:sz w:val="18"/>
        </w:rPr>
        <w:t xml:space="preserve">Pour AN, Gholizadeh M, Housaindokht M, Moosavi F, Monhemi H. A new method for preparing mono-dispersed nanoparticles using magnetized water. Applied Physics A </w:t>
      </w:r>
      <w:r>
        <w:rPr>
          <w:sz w:val="18"/>
        </w:rPr>
        <w:t>2017;123:269-281.</w:t>
      </w:r>
    </w:p>
    <w:p w:rsidR="00045DC6" w:rsidRDefault="00F8691C">
      <w:pPr>
        <w:numPr>
          <w:ilvl w:val="0"/>
          <w:numId w:val="4"/>
        </w:numPr>
        <w:spacing w:after="0" w:line="237" w:lineRule="auto"/>
        <w:ind w:right="0" w:hanging="10"/>
      </w:pPr>
      <w:r>
        <w:rPr>
          <w:sz w:val="18"/>
        </w:rPr>
        <w:t>Hafizi L, Gholizadeh M, Karimi M, Hosseini G, Mostafavi</w:t>
      </w:r>
      <w:r>
        <w:rPr>
          <w:sz w:val="18"/>
        </w:rPr>
        <w:t xml:space="preserve">Toroghi H, Haddadi M, </w:t>
      </w:r>
      <w:r>
        <w:rPr>
          <w:i/>
          <w:sz w:val="18"/>
        </w:rPr>
        <w:t>et al</w:t>
      </w:r>
      <w:r>
        <w:rPr>
          <w:sz w:val="18"/>
        </w:rPr>
        <w:t xml:space="preserve">. Effects of magnetized water on ovary, pre-implantation stage endometrial and fallopian tube </w:t>
      </w:r>
      <w:r>
        <w:rPr>
          <w:sz w:val="18"/>
        </w:rPr>
        <w:t xml:space="preserve">epithelial cells in mice. Iran J Reprod Med 2014;12:243-248. </w:t>
      </w:r>
    </w:p>
    <w:sectPr w:rsidR="00045DC6">
      <w:type w:val="continuous"/>
      <w:pgSz w:w="11906" w:h="16838"/>
      <w:pgMar w:top="1417" w:right="1020" w:bottom="1345" w:left="1020" w:header="720" w:footer="720" w:gutter="0"/>
      <w:cols w:num="2" w:space="36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91C" w:rsidRDefault="00F8691C">
      <w:pPr>
        <w:spacing w:after="0" w:line="240" w:lineRule="auto"/>
      </w:pPr>
      <w:r>
        <w:separator/>
      </w:r>
    </w:p>
  </w:endnote>
  <w:endnote w:type="continuationSeparator" w:id="0">
    <w:p w:rsidR="00F8691C" w:rsidRDefault="00F86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DC6" w:rsidRDefault="00F8691C">
    <w:pPr>
      <w:tabs>
        <w:tab w:val="right" w:pos="9865"/>
      </w:tabs>
      <w:spacing w:after="0" w:line="259" w:lineRule="auto"/>
      <w:ind w:right="0" w:firstLine="0"/>
      <w:jc w:val="left"/>
    </w:pPr>
    <w:r>
      <w:fldChar w:fldCharType="begin"/>
    </w:r>
    <w:r>
      <w:instrText xml:space="preserve"> PAGE   \* MERGEFORMAT </w:instrText>
    </w:r>
    <w:r>
      <w:fldChar w:fldCharType="separate"/>
    </w:r>
    <w:r w:rsidR="00D0030F" w:rsidRPr="00D0030F">
      <w:rPr>
        <w:noProof/>
        <w:sz w:val="18"/>
      </w:rPr>
      <w:t>338</w:t>
    </w:r>
    <w:r>
      <w:rPr>
        <w:sz w:val="18"/>
      </w:rPr>
      <w:fldChar w:fldCharType="end"/>
    </w:r>
    <w:r>
      <w:rPr>
        <w:sz w:val="18"/>
      </w:rPr>
      <w:tab/>
    </w:r>
    <w:r>
      <w:rPr>
        <w:rFonts w:ascii="Times New Roman" w:eastAsia="Times New Roman" w:hAnsi="Times New Roman" w:cs="Times New Roman"/>
        <w:i/>
        <w:sz w:val="16"/>
      </w:rPr>
      <w:t>Iran J Basic Med Sci, Vol. 23, No. 3, Mar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DC6" w:rsidRDefault="00F8691C">
    <w:pPr>
      <w:tabs>
        <w:tab w:val="right" w:pos="9865"/>
      </w:tabs>
      <w:spacing w:after="0" w:line="259" w:lineRule="auto"/>
      <w:ind w:right="0" w:firstLine="0"/>
      <w:jc w:val="left"/>
    </w:pPr>
    <w:r>
      <w:rPr>
        <w:rFonts w:ascii="Times New Roman" w:eastAsia="Times New Roman" w:hAnsi="Times New Roman" w:cs="Times New Roman"/>
        <w:i/>
        <w:sz w:val="16"/>
      </w:rPr>
      <w:t>Iran J Basic Med Sci, Vol. 23, No. 3, Mar 2020</w:t>
    </w:r>
    <w:r>
      <w:rPr>
        <w:rFonts w:ascii="Times New Roman" w:eastAsia="Times New Roman" w:hAnsi="Times New Roman" w:cs="Times New Roman"/>
        <w:i/>
        <w:sz w:val="16"/>
      </w:rPr>
      <w:tab/>
    </w:r>
    <w:r>
      <w:fldChar w:fldCharType="begin"/>
    </w:r>
    <w:r>
      <w:instrText xml:space="preserve"> PAGE   \* MERGEFORMAT </w:instrText>
    </w:r>
    <w:r>
      <w:fldChar w:fldCharType="separate"/>
    </w:r>
    <w:r>
      <w:rPr>
        <w:sz w:val="18"/>
      </w:rPr>
      <w:t>339</w:t>
    </w:r>
    <w:r>
      <w:rPr>
        <w:sz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DC6" w:rsidRDefault="00045DC6">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91C" w:rsidRDefault="00F8691C">
      <w:pPr>
        <w:spacing w:after="0" w:line="240" w:lineRule="auto"/>
      </w:pPr>
      <w:r>
        <w:separator/>
      </w:r>
    </w:p>
  </w:footnote>
  <w:footnote w:type="continuationSeparator" w:id="0">
    <w:p w:rsidR="00F8691C" w:rsidRDefault="00F86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DC6" w:rsidRDefault="00F8691C">
    <w:pPr>
      <w:spacing w:after="0" w:line="259" w:lineRule="auto"/>
      <w:ind w:left="-102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647992</wp:posOffset>
              </wp:positionH>
              <wp:positionV relativeFrom="page">
                <wp:posOffset>432003</wp:posOffset>
              </wp:positionV>
              <wp:extent cx="6264016" cy="240902"/>
              <wp:effectExtent l="0" t="0" r="0" b="0"/>
              <wp:wrapSquare wrapText="bothSides"/>
              <wp:docPr id="16135" name="Group 16135"/>
              <wp:cNvGraphicFramePr/>
              <a:graphic xmlns:a="http://schemas.openxmlformats.org/drawingml/2006/main">
                <a:graphicData uri="http://schemas.microsoft.com/office/word/2010/wordprocessingGroup">
                  <wpg:wgp>
                    <wpg:cNvGrpSpPr/>
                    <wpg:grpSpPr>
                      <a:xfrm>
                        <a:off x="0" y="0"/>
                        <a:ext cx="6264016" cy="240902"/>
                        <a:chOff x="0" y="0"/>
                        <a:chExt cx="6264016" cy="240902"/>
                      </a:xfrm>
                    </wpg:grpSpPr>
                    <wps:wsp>
                      <wps:cNvPr id="16138" name="Rectangle 16138"/>
                      <wps:cNvSpPr/>
                      <wps:spPr>
                        <a:xfrm>
                          <a:off x="0" y="66611"/>
                          <a:ext cx="700233" cy="184044"/>
                        </a:xfrm>
                        <a:prstGeom prst="rect">
                          <a:avLst/>
                        </a:prstGeom>
                        <a:ln>
                          <a:noFill/>
                        </a:ln>
                      </wps:spPr>
                      <wps:txbx>
                        <w:txbxContent>
                          <w:p w:rsidR="00045DC6" w:rsidRDefault="00F8691C">
                            <w:pPr>
                              <w:spacing w:after="160" w:line="259" w:lineRule="auto"/>
                              <w:ind w:right="0" w:firstLine="0"/>
                              <w:jc w:val="left"/>
                            </w:pPr>
                            <w:r>
                              <w:rPr>
                                <w:rFonts w:ascii="Times New Roman" w:eastAsia="Times New Roman" w:hAnsi="Times New Roman" w:cs="Times New Roman"/>
                                <w:i/>
                                <w:sz w:val="16"/>
                              </w:rPr>
                              <w:t>Sarhadi</w:t>
                            </w:r>
                            <w:r>
                              <w:rPr>
                                <w:rFonts w:ascii="Times New Roman" w:eastAsia="Times New Roman" w:hAnsi="Times New Roman" w:cs="Times New Roman"/>
                                <w:i/>
                                <w:spacing w:val="-3"/>
                                <w:sz w:val="16"/>
                              </w:rPr>
                              <w:t xml:space="preserve"> </w:t>
                            </w:r>
                            <w:r>
                              <w:rPr>
                                <w:rFonts w:ascii="Times New Roman" w:eastAsia="Times New Roman" w:hAnsi="Times New Roman" w:cs="Times New Roman"/>
                                <w:i/>
                                <w:sz w:val="16"/>
                              </w:rPr>
                              <w:t>et</w:t>
                            </w:r>
                            <w:r>
                              <w:rPr>
                                <w:rFonts w:ascii="Times New Roman" w:eastAsia="Times New Roman" w:hAnsi="Times New Roman" w:cs="Times New Roman"/>
                                <w:i/>
                                <w:spacing w:val="-3"/>
                                <w:sz w:val="16"/>
                              </w:rPr>
                              <w:t xml:space="preserve"> </w:t>
                            </w:r>
                            <w:r>
                              <w:rPr>
                                <w:rFonts w:ascii="Times New Roman" w:eastAsia="Times New Roman" w:hAnsi="Times New Roman" w:cs="Times New Roman"/>
                                <w:i/>
                                <w:sz w:val="16"/>
                              </w:rPr>
                              <w:t>al.</w:t>
                            </w:r>
                          </w:p>
                        </w:txbxContent>
                      </wps:txbx>
                      <wps:bodyPr horzOverflow="overflow" vert="horz" lIns="0" tIns="0" rIns="0" bIns="0" rtlCol="0">
                        <a:noAutofit/>
                      </wps:bodyPr>
                    </wps:wsp>
                    <wps:wsp>
                      <wps:cNvPr id="16139" name="Rectangle 16139"/>
                      <wps:cNvSpPr/>
                      <wps:spPr>
                        <a:xfrm>
                          <a:off x="3814470" y="66611"/>
                          <a:ext cx="3257895" cy="184044"/>
                        </a:xfrm>
                        <a:prstGeom prst="rect">
                          <a:avLst/>
                        </a:prstGeom>
                        <a:ln>
                          <a:noFill/>
                        </a:ln>
                      </wps:spPr>
                      <wps:txbx>
                        <w:txbxContent>
                          <w:p w:rsidR="00045DC6" w:rsidRDefault="00F8691C">
                            <w:pPr>
                              <w:spacing w:after="160" w:line="259" w:lineRule="auto"/>
                              <w:ind w:right="0" w:firstLine="0"/>
                              <w:jc w:val="left"/>
                            </w:pPr>
                            <w:r>
                              <w:rPr>
                                <w:rFonts w:ascii="Times New Roman" w:eastAsia="Times New Roman" w:hAnsi="Times New Roman" w:cs="Times New Roman"/>
                                <w:i/>
                                <w:sz w:val="16"/>
                              </w:rPr>
                              <w:t>Moisture</w:t>
                            </w:r>
                            <w:r>
                              <w:rPr>
                                <w:rFonts w:ascii="Times New Roman" w:eastAsia="Times New Roman" w:hAnsi="Times New Roman" w:cs="Times New Roman"/>
                                <w:i/>
                                <w:spacing w:val="-3"/>
                                <w:sz w:val="16"/>
                              </w:rPr>
                              <w:t xml:space="preserve"> </w:t>
                            </w:r>
                            <w:r>
                              <w:rPr>
                                <w:rFonts w:ascii="Times New Roman" w:eastAsia="Times New Roman" w:hAnsi="Times New Roman" w:cs="Times New Roman"/>
                                <w:i/>
                                <w:sz w:val="16"/>
                              </w:rPr>
                              <w:t>effects</w:t>
                            </w:r>
                            <w:r>
                              <w:rPr>
                                <w:rFonts w:ascii="Times New Roman" w:eastAsia="Times New Roman" w:hAnsi="Times New Roman" w:cs="Times New Roman"/>
                                <w:i/>
                                <w:spacing w:val="-3"/>
                                <w:sz w:val="16"/>
                              </w:rPr>
                              <w:t xml:space="preserve"> </w:t>
                            </w:r>
                            <w:r>
                              <w:rPr>
                                <w:rFonts w:ascii="Times New Roman" w:eastAsia="Times New Roman" w:hAnsi="Times New Roman" w:cs="Times New Roman"/>
                                <w:i/>
                                <w:sz w:val="16"/>
                              </w:rPr>
                              <w:t>of</w:t>
                            </w:r>
                            <w:r>
                              <w:rPr>
                                <w:rFonts w:ascii="Times New Roman" w:eastAsia="Times New Roman" w:hAnsi="Times New Roman" w:cs="Times New Roman"/>
                                <w:i/>
                                <w:spacing w:val="-3"/>
                                <w:sz w:val="16"/>
                              </w:rPr>
                              <w:t xml:space="preserve"> </w:t>
                            </w:r>
                            <w:r>
                              <w:rPr>
                                <w:rFonts w:ascii="Times New Roman" w:eastAsia="Times New Roman" w:hAnsi="Times New Roman" w:cs="Times New Roman"/>
                                <w:i/>
                                <w:sz w:val="16"/>
                              </w:rPr>
                              <w:t>SLN</w:t>
                            </w:r>
                            <w:r>
                              <w:rPr>
                                <w:rFonts w:ascii="Times New Roman" w:eastAsia="Times New Roman" w:hAnsi="Times New Roman" w:cs="Times New Roman"/>
                                <w:i/>
                                <w:spacing w:val="-3"/>
                                <w:sz w:val="16"/>
                              </w:rPr>
                              <w:t xml:space="preserve"> </w:t>
                            </w:r>
                            <w:r>
                              <w:rPr>
                                <w:rFonts w:ascii="Times New Roman" w:eastAsia="Times New Roman" w:hAnsi="Times New Roman" w:cs="Times New Roman"/>
                                <w:i/>
                                <w:sz w:val="16"/>
                              </w:rPr>
                              <w:t>NLC,</w:t>
                            </w:r>
                            <w:r>
                              <w:rPr>
                                <w:rFonts w:ascii="Times New Roman" w:eastAsia="Times New Roman" w:hAnsi="Times New Roman" w:cs="Times New Roman"/>
                                <w:i/>
                                <w:spacing w:val="-3"/>
                                <w:sz w:val="16"/>
                              </w:rPr>
                              <w:t xml:space="preserve"> </w:t>
                            </w:r>
                            <w:r>
                              <w:rPr>
                                <w:rFonts w:ascii="Times New Roman" w:eastAsia="Times New Roman" w:hAnsi="Times New Roman" w:cs="Times New Roman"/>
                                <w:i/>
                                <w:sz w:val="16"/>
                              </w:rPr>
                              <w:t>deionized</w:t>
                            </w:r>
                            <w:r>
                              <w:rPr>
                                <w:rFonts w:ascii="Times New Roman" w:eastAsia="Times New Roman" w:hAnsi="Times New Roman" w:cs="Times New Roman"/>
                                <w:i/>
                                <w:spacing w:val="-3"/>
                                <w:sz w:val="16"/>
                              </w:rPr>
                              <w:t xml:space="preserve"> </w:t>
                            </w:r>
                            <w:r>
                              <w:rPr>
                                <w:rFonts w:ascii="Times New Roman" w:eastAsia="Times New Roman" w:hAnsi="Times New Roman" w:cs="Times New Roman"/>
                                <w:i/>
                                <w:sz w:val="16"/>
                              </w:rPr>
                              <w:t>and</w:t>
                            </w:r>
                            <w:r>
                              <w:rPr>
                                <w:rFonts w:ascii="Times New Roman" w:eastAsia="Times New Roman" w:hAnsi="Times New Roman" w:cs="Times New Roman"/>
                                <w:i/>
                                <w:spacing w:val="-3"/>
                                <w:sz w:val="16"/>
                              </w:rPr>
                              <w:t xml:space="preserve"> </w:t>
                            </w:r>
                            <w:r>
                              <w:rPr>
                                <w:rFonts w:ascii="Times New Roman" w:eastAsia="Times New Roman" w:hAnsi="Times New Roman" w:cs="Times New Roman"/>
                                <w:i/>
                                <w:sz w:val="16"/>
                              </w:rPr>
                              <w:t>magnetized</w:t>
                            </w:r>
                            <w:r>
                              <w:rPr>
                                <w:rFonts w:ascii="Times New Roman" w:eastAsia="Times New Roman" w:hAnsi="Times New Roman" w:cs="Times New Roman"/>
                                <w:i/>
                                <w:spacing w:val="-3"/>
                                <w:sz w:val="16"/>
                              </w:rPr>
                              <w:t xml:space="preserve"> </w:t>
                            </w:r>
                            <w:r>
                              <w:rPr>
                                <w:rFonts w:ascii="Times New Roman" w:eastAsia="Times New Roman" w:hAnsi="Times New Roman" w:cs="Times New Roman"/>
                                <w:i/>
                                <w:sz w:val="16"/>
                              </w:rPr>
                              <w:t>water</w:t>
                            </w:r>
                          </w:p>
                        </w:txbxContent>
                      </wps:txbx>
                      <wps:bodyPr horzOverflow="overflow" vert="horz" lIns="0" tIns="0" rIns="0" bIns="0" rtlCol="0">
                        <a:noAutofit/>
                      </wps:bodyPr>
                    </wps:wsp>
                    <pic:pic xmlns:pic="http://schemas.openxmlformats.org/drawingml/2006/picture">
                      <pic:nvPicPr>
                        <pic:cNvPr id="16136" name="Picture 16136"/>
                        <pic:cNvPicPr/>
                      </pic:nvPicPr>
                      <pic:blipFill>
                        <a:blip r:embed="rId1"/>
                        <a:stretch>
                          <a:fillRect/>
                        </a:stretch>
                      </pic:blipFill>
                      <pic:spPr>
                        <a:xfrm>
                          <a:off x="2808790" y="0"/>
                          <a:ext cx="646437" cy="196928"/>
                        </a:xfrm>
                        <a:prstGeom prst="rect">
                          <a:avLst/>
                        </a:prstGeom>
                      </pic:spPr>
                    </pic:pic>
                    <wps:wsp>
                      <wps:cNvPr id="16137" name="Shape 16137"/>
                      <wps:cNvSpPr/>
                      <wps:spPr>
                        <a:xfrm>
                          <a:off x="8" y="240902"/>
                          <a:ext cx="6263996" cy="0"/>
                        </a:xfrm>
                        <a:custGeom>
                          <a:avLst/>
                          <a:gdLst/>
                          <a:ahLst/>
                          <a:cxnLst/>
                          <a:rect l="0" t="0" r="0" b="0"/>
                          <a:pathLst>
                            <a:path w="6263996">
                              <a:moveTo>
                                <a:pt x="0" y="0"/>
                              </a:moveTo>
                              <a:lnTo>
                                <a:pt x="6263996" y="0"/>
                              </a:lnTo>
                            </a:path>
                          </a:pathLst>
                        </a:custGeom>
                        <a:ln w="7201"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135" style="width:493.23pt;height:18.9686pt;position:absolute;mso-position-horizontal-relative:page;mso-position-horizontal:absolute;margin-left:51.023pt;mso-position-vertical-relative:page;margin-top:34.016pt;" coordsize="62640,2409">
              <v:rect id="Rectangle 16138" style="position:absolute;width:7002;height:1840;left:0;top:666;" filled="f" stroked="f">
                <v:textbox inset="0,0,0,0">
                  <w:txbxContent>
                    <w:p>
                      <w:pPr>
                        <w:spacing w:before="0" w:after="160" w:line="259" w:lineRule="auto"/>
                        <w:ind w:right="0" w:firstLine="0"/>
                        <w:jc w:val="left"/>
                      </w:pPr>
                      <w:r>
                        <w:rPr>
                          <w:rFonts w:cs="Times New Roman" w:hAnsi="Times New Roman" w:eastAsia="Times New Roman" w:ascii="Times New Roman"/>
                          <w:i w:val="1"/>
                          <w:sz w:val="16"/>
                        </w:rPr>
                        <w:t xml:space="preserve">Sarhadi</w:t>
                      </w:r>
                      <w:r>
                        <w:rPr>
                          <w:rFonts w:cs="Times New Roman" w:hAnsi="Times New Roman" w:eastAsia="Times New Roman" w:ascii="Times New Roman"/>
                          <w:i w:val="1"/>
                          <w:spacing w:val="-3"/>
                          <w:sz w:val="16"/>
                        </w:rPr>
                        <w:t xml:space="preserve"> </w:t>
                      </w:r>
                      <w:r>
                        <w:rPr>
                          <w:rFonts w:cs="Times New Roman" w:hAnsi="Times New Roman" w:eastAsia="Times New Roman" w:ascii="Times New Roman"/>
                          <w:i w:val="1"/>
                          <w:sz w:val="16"/>
                        </w:rPr>
                        <w:t xml:space="preserve">et</w:t>
                      </w:r>
                      <w:r>
                        <w:rPr>
                          <w:rFonts w:cs="Times New Roman" w:hAnsi="Times New Roman" w:eastAsia="Times New Roman" w:ascii="Times New Roman"/>
                          <w:i w:val="1"/>
                          <w:spacing w:val="-3"/>
                          <w:sz w:val="16"/>
                        </w:rPr>
                        <w:t xml:space="preserve"> </w:t>
                      </w:r>
                      <w:r>
                        <w:rPr>
                          <w:rFonts w:cs="Times New Roman" w:hAnsi="Times New Roman" w:eastAsia="Times New Roman" w:ascii="Times New Roman"/>
                          <w:i w:val="1"/>
                          <w:sz w:val="16"/>
                        </w:rPr>
                        <w:t xml:space="preserve">al.</w:t>
                      </w:r>
                    </w:p>
                  </w:txbxContent>
                </v:textbox>
              </v:rect>
              <v:rect id="Rectangle 16139" style="position:absolute;width:32578;height:1840;left:38144;top:666;" filled="f" stroked="f">
                <v:textbox inset="0,0,0,0">
                  <w:txbxContent>
                    <w:p>
                      <w:pPr>
                        <w:spacing w:before="0" w:after="160" w:line="259" w:lineRule="auto"/>
                        <w:ind w:right="0" w:firstLine="0"/>
                        <w:jc w:val="left"/>
                      </w:pPr>
                      <w:r>
                        <w:rPr>
                          <w:rFonts w:cs="Times New Roman" w:hAnsi="Times New Roman" w:eastAsia="Times New Roman" w:ascii="Times New Roman"/>
                          <w:i w:val="1"/>
                          <w:sz w:val="16"/>
                        </w:rPr>
                        <w:t xml:space="preserve">Moisture</w:t>
                      </w:r>
                      <w:r>
                        <w:rPr>
                          <w:rFonts w:cs="Times New Roman" w:hAnsi="Times New Roman" w:eastAsia="Times New Roman" w:ascii="Times New Roman"/>
                          <w:i w:val="1"/>
                          <w:spacing w:val="-3"/>
                          <w:sz w:val="16"/>
                        </w:rPr>
                        <w:t xml:space="preserve"> </w:t>
                      </w:r>
                      <w:r>
                        <w:rPr>
                          <w:rFonts w:cs="Times New Roman" w:hAnsi="Times New Roman" w:eastAsia="Times New Roman" w:ascii="Times New Roman"/>
                          <w:i w:val="1"/>
                          <w:sz w:val="16"/>
                        </w:rPr>
                        <w:t xml:space="preserve">effects</w:t>
                      </w:r>
                      <w:r>
                        <w:rPr>
                          <w:rFonts w:cs="Times New Roman" w:hAnsi="Times New Roman" w:eastAsia="Times New Roman" w:ascii="Times New Roman"/>
                          <w:i w:val="1"/>
                          <w:spacing w:val="-3"/>
                          <w:sz w:val="16"/>
                        </w:rPr>
                        <w:t xml:space="preserve"> </w:t>
                      </w:r>
                      <w:r>
                        <w:rPr>
                          <w:rFonts w:cs="Times New Roman" w:hAnsi="Times New Roman" w:eastAsia="Times New Roman" w:ascii="Times New Roman"/>
                          <w:i w:val="1"/>
                          <w:sz w:val="16"/>
                        </w:rPr>
                        <w:t xml:space="preserve">of</w:t>
                      </w:r>
                      <w:r>
                        <w:rPr>
                          <w:rFonts w:cs="Times New Roman" w:hAnsi="Times New Roman" w:eastAsia="Times New Roman" w:ascii="Times New Roman"/>
                          <w:i w:val="1"/>
                          <w:spacing w:val="-3"/>
                          <w:sz w:val="16"/>
                        </w:rPr>
                        <w:t xml:space="preserve"> </w:t>
                      </w:r>
                      <w:r>
                        <w:rPr>
                          <w:rFonts w:cs="Times New Roman" w:hAnsi="Times New Roman" w:eastAsia="Times New Roman" w:ascii="Times New Roman"/>
                          <w:i w:val="1"/>
                          <w:sz w:val="16"/>
                        </w:rPr>
                        <w:t xml:space="preserve">SLN</w:t>
                      </w:r>
                      <w:r>
                        <w:rPr>
                          <w:rFonts w:cs="Times New Roman" w:hAnsi="Times New Roman" w:eastAsia="Times New Roman" w:ascii="Times New Roman"/>
                          <w:i w:val="1"/>
                          <w:spacing w:val="-3"/>
                          <w:sz w:val="16"/>
                        </w:rPr>
                        <w:t xml:space="preserve"> </w:t>
                      </w:r>
                      <w:r>
                        <w:rPr>
                          <w:rFonts w:cs="Times New Roman" w:hAnsi="Times New Roman" w:eastAsia="Times New Roman" w:ascii="Times New Roman"/>
                          <w:i w:val="1"/>
                          <w:sz w:val="16"/>
                        </w:rPr>
                        <w:t xml:space="preserve">NLC,</w:t>
                      </w:r>
                      <w:r>
                        <w:rPr>
                          <w:rFonts w:cs="Times New Roman" w:hAnsi="Times New Roman" w:eastAsia="Times New Roman" w:ascii="Times New Roman"/>
                          <w:i w:val="1"/>
                          <w:spacing w:val="-3"/>
                          <w:sz w:val="16"/>
                        </w:rPr>
                        <w:t xml:space="preserve"> </w:t>
                      </w:r>
                      <w:r>
                        <w:rPr>
                          <w:rFonts w:cs="Times New Roman" w:hAnsi="Times New Roman" w:eastAsia="Times New Roman" w:ascii="Times New Roman"/>
                          <w:i w:val="1"/>
                          <w:sz w:val="16"/>
                        </w:rPr>
                        <w:t xml:space="preserve">deionized</w:t>
                      </w:r>
                      <w:r>
                        <w:rPr>
                          <w:rFonts w:cs="Times New Roman" w:hAnsi="Times New Roman" w:eastAsia="Times New Roman" w:ascii="Times New Roman"/>
                          <w:i w:val="1"/>
                          <w:spacing w:val="-3"/>
                          <w:sz w:val="16"/>
                        </w:rPr>
                        <w:t xml:space="preserve"> </w:t>
                      </w:r>
                      <w:r>
                        <w:rPr>
                          <w:rFonts w:cs="Times New Roman" w:hAnsi="Times New Roman" w:eastAsia="Times New Roman" w:ascii="Times New Roman"/>
                          <w:i w:val="1"/>
                          <w:sz w:val="16"/>
                        </w:rPr>
                        <w:t xml:space="preserve">and</w:t>
                      </w:r>
                      <w:r>
                        <w:rPr>
                          <w:rFonts w:cs="Times New Roman" w:hAnsi="Times New Roman" w:eastAsia="Times New Roman" w:ascii="Times New Roman"/>
                          <w:i w:val="1"/>
                          <w:spacing w:val="-3"/>
                          <w:sz w:val="16"/>
                        </w:rPr>
                        <w:t xml:space="preserve"> </w:t>
                      </w:r>
                      <w:r>
                        <w:rPr>
                          <w:rFonts w:cs="Times New Roman" w:hAnsi="Times New Roman" w:eastAsia="Times New Roman" w:ascii="Times New Roman"/>
                          <w:i w:val="1"/>
                          <w:sz w:val="16"/>
                        </w:rPr>
                        <w:t xml:space="preserve">magnetized</w:t>
                      </w:r>
                      <w:r>
                        <w:rPr>
                          <w:rFonts w:cs="Times New Roman" w:hAnsi="Times New Roman" w:eastAsia="Times New Roman" w:ascii="Times New Roman"/>
                          <w:i w:val="1"/>
                          <w:spacing w:val="-3"/>
                          <w:sz w:val="16"/>
                        </w:rPr>
                        <w:t xml:space="preserve"> </w:t>
                      </w:r>
                      <w:r>
                        <w:rPr>
                          <w:rFonts w:cs="Times New Roman" w:hAnsi="Times New Roman" w:eastAsia="Times New Roman" w:ascii="Times New Roman"/>
                          <w:i w:val="1"/>
                          <w:sz w:val="16"/>
                        </w:rPr>
                        <w:t xml:space="preserve">water</w:t>
                      </w:r>
                    </w:p>
                  </w:txbxContent>
                </v:textbox>
              </v:rect>
              <v:shape id="Picture 16136" style="position:absolute;width:6464;height:1969;left:28087;top:0;" filled="f">
                <v:imagedata r:id="rId17"/>
              </v:shape>
              <v:shape id="Shape 16137" style="position:absolute;width:62639;height:0;left:0;top:2409;" coordsize="6263996,0" path="m0,0l6263996,0">
                <v:stroke weight="0.567pt" endcap="flat" joinstyle="miter" miterlimit="2" on="true" color="#000000"/>
                <v:fill on="false" color="#000000" opacity="0"/>
              </v:shape>
              <w10:wrap type="squar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DC6" w:rsidRDefault="00F8691C">
    <w:pPr>
      <w:spacing w:after="0" w:line="259" w:lineRule="auto"/>
      <w:ind w:left="-102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648000</wp:posOffset>
              </wp:positionH>
              <wp:positionV relativeFrom="page">
                <wp:posOffset>435603</wp:posOffset>
              </wp:positionV>
              <wp:extent cx="6264047" cy="233703"/>
              <wp:effectExtent l="0" t="0" r="0" b="0"/>
              <wp:wrapSquare wrapText="bothSides"/>
              <wp:docPr id="16118" name="Group 16118"/>
              <wp:cNvGraphicFramePr/>
              <a:graphic xmlns:a="http://schemas.openxmlformats.org/drawingml/2006/main">
                <a:graphicData uri="http://schemas.microsoft.com/office/word/2010/wordprocessingGroup">
                  <wpg:wgp>
                    <wpg:cNvGrpSpPr/>
                    <wpg:grpSpPr>
                      <a:xfrm>
                        <a:off x="0" y="0"/>
                        <a:ext cx="6264047" cy="233703"/>
                        <a:chOff x="0" y="0"/>
                        <a:chExt cx="6264047" cy="233703"/>
                      </a:xfrm>
                    </wpg:grpSpPr>
                    <wps:wsp>
                      <wps:cNvPr id="16121" name="Rectangle 16121"/>
                      <wps:cNvSpPr/>
                      <wps:spPr>
                        <a:xfrm>
                          <a:off x="0" y="50210"/>
                          <a:ext cx="3257896" cy="184044"/>
                        </a:xfrm>
                        <a:prstGeom prst="rect">
                          <a:avLst/>
                        </a:prstGeom>
                        <a:ln>
                          <a:noFill/>
                        </a:ln>
                      </wps:spPr>
                      <wps:txbx>
                        <w:txbxContent>
                          <w:p w:rsidR="00045DC6" w:rsidRDefault="00F8691C">
                            <w:pPr>
                              <w:spacing w:after="160" w:line="259" w:lineRule="auto"/>
                              <w:ind w:right="0" w:firstLine="0"/>
                              <w:jc w:val="left"/>
                            </w:pPr>
                            <w:r>
                              <w:rPr>
                                <w:rFonts w:ascii="Times New Roman" w:eastAsia="Times New Roman" w:hAnsi="Times New Roman" w:cs="Times New Roman"/>
                                <w:i/>
                                <w:sz w:val="16"/>
                              </w:rPr>
                              <w:t>Moisture</w:t>
                            </w:r>
                            <w:r>
                              <w:rPr>
                                <w:rFonts w:ascii="Times New Roman" w:eastAsia="Times New Roman" w:hAnsi="Times New Roman" w:cs="Times New Roman"/>
                                <w:i/>
                                <w:spacing w:val="-3"/>
                                <w:sz w:val="16"/>
                              </w:rPr>
                              <w:t xml:space="preserve"> </w:t>
                            </w:r>
                            <w:r>
                              <w:rPr>
                                <w:rFonts w:ascii="Times New Roman" w:eastAsia="Times New Roman" w:hAnsi="Times New Roman" w:cs="Times New Roman"/>
                                <w:i/>
                                <w:sz w:val="16"/>
                              </w:rPr>
                              <w:t>effects</w:t>
                            </w:r>
                            <w:r>
                              <w:rPr>
                                <w:rFonts w:ascii="Times New Roman" w:eastAsia="Times New Roman" w:hAnsi="Times New Roman" w:cs="Times New Roman"/>
                                <w:i/>
                                <w:spacing w:val="-3"/>
                                <w:sz w:val="16"/>
                              </w:rPr>
                              <w:t xml:space="preserve"> </w:t>
                            </w:r>
                            <w:r>
                              <w:rPr>
                                <w:rFonts w:ascii="Times New Roman" w:eastAsia="Times New Roman" w:hAnsi="Times New Roman" w:cs="Times New Roman"/>
                                <w:i/>
                                <w:sz w:val="16"/>
                              </w:rPr>
                              <w:t>of</w:t>
                            </w:r>
                            <w:r>
                              <w:rPr>
                                <w:rFonts w:ascii="Times New Roman" w:eastAsia="Times New Roman" w:hAnsi="Times New Roman" w:cs="Times New Roman"/>
                                <w:i/>
                                <w:spacing w:val="-3"/>
                                <w:sz w:val="16"/>
                              </w:rPr>
                              <w:t xml:space="preserve"> </w:t>
                            </w:r>
                            <w:r>
                              <w:rPr>
                                <w:rFonts w:ascii="Times New Roman" w:eastAsia="Times New Roman" w:hAnsi="Times New Roman" w:cs="Times New Roman"/>
                                <w:i/>
                                <w:sz w:val="16"/>
                              </w:rPr>
                              <w:t>SLN</w:t>
                            </w:r>
                            <w:r>
                              <w:rPr>
                                <w:rFonts w:ascii="Times New Roman" w:eastAsia="Times New Roman" w:hAnsi="Times New Roman" w:cs="Times New Roman"/>
                                <w:i/>
                                <w:spacing w:val="-3"/>
                                <w:sz w:val="16"/>
                              </w:rPr>
                              <w:t xml:space="preserve"> </w:t>
                            </w:r>
                            <w:r>
                              <w:rPr>
                                <w:rFonts w:ascii="Times New Roman" w:eastAsia="Times New Roman" w:hAnsi="Times New Roman" w:cs="Times New Roman"/>
                                <w:i/>
                                <w:sz w:val="16"/>
                              </w:rPr>
                              <w:t>NLC,</w:t>
                            </w:r>
                            <w:r>
                              <w:rPr>
                                <w:rFonts w:ascii="Times New Roman" w:eastAsia="Times New Roman" w:hAnsi="Times New Roman" w:cs="Times New Roman"/>
                                <w:i/>
                                <w:spacing w:val="-3"/>
                                <w:sz w:val="16"/>
                              </w:rPr>
                              <w:t xml:space="preserve"> </w:t>
                            </w:r>
                            <w:r>
                              <w:rPr>
                                <w:rFonts w:ascii="Times New Roman" w:eastAsia="Times New Roman" w:hAnsi="Times New Roman" w:cs="Times New Roman"/>
                                <w:i/>
                                <w:sz w:val="16"/>
                              </w:rPr>
                              <w:t>deionized</w:t>
                            </w:r>
                            <w:r>
                              <w:rPr>
                                <w:rFonts w:ascii="Times New Roman" w:eastAsia="Times New Roman" w:hAnsi="Times New Roman" w:cs="Times New Roman"/>
                                <w:i/>
                                <w:spacing w:val="-3"/>
                                <w:sz w:val="16"/>
                              </w:rPr>
                              <w:t xml:space="preserve"> </w:t>
                            </w:r>
                            <w:r>
                              <w:rPr>
                                <w:rFonts w:ascii="Times New Roman" w:eastAsia="Times New Roman" w:hAnsi="Times New Roman" w:cs="Times New Roman"/>
                                <w:i/>
                                <w:sz w:val="16"/>
                              </w:rPr>
                              <w:t>and</w:t>
                            </w:r>
                            <w:r>
                              <w:rPr>
                                <w:rFonts w:ascii="Times New Roman" w:eastAsia="Times New Roman" w:hAnsi="Times New Roman" w:cs="Times New Roman"/>
                                <w:i/>
                                <w:spacing w:val="-3"/>
                                <w:sz w:val="16"/>
                              </w:rPr>
                              <w:t xml:space="preserve"> </w:t>
                            </w:r>
                            <w:r>
                              <w:rPr>
                                <w:rFonts w:ascii="Times New Roman" w:eastAsia="Times New Roman" w:hAnsi="Times New Roman" w:cs="Times New Roman"/>
                                <w:i/>
                                <w:sz w:val="16"/>
                              </w:rPr>
                              <w:t>magnetized</w:t>
                            </w:r>
                            <w:r>
                              <w:rPr>
                                <w:rFonts w:ascii="Times New Roman" w:eastAsia="Times New Roman" w:hAnsi="Times New Roman" w:cs="Times New Roman"/>
                                <w:i/>
                                <w:spacing w:val="-3"/>
                                <w:sz w:val="16"/>
                              </w:rPr>
                              <w:t xml:space="preserve"> </w:t>
                            </w:r>
                            <w:r>
                              <w:rPr>
                                <w:rFonts w:ascii="Times New Roman" w:eastAsia="Times New Roman" w:hAnsi="Times New Roman" w:cs="Times New Roman"/>
                                <w:i/>
                                <w:sz w:val="16"/>
                              </w:rPr>
                              <w:t>water</w:t>
                            </w:r>
                          </w:p>
                        </w:txbxContent>
                      </wps:txbx>
                      <wps:bodyPr horzOverflow="overflow" vert="horz" lIns="0" tIns="0" rIns="0" bIns="0" rtlCol="0">
                        <a:noAutofit/>
                      </wps:bodyPr>
                    </wps:wsp>
                    <wps:wsp>
                      <wps:cNvPr id="16122" name="Rectangle 16122"/>
                      <wps:cNvSpPr/>
                      <wps:spPr>
                        <a:xfrm>
                          <a:off x="5737555" y="50210"/>
                          <a:ext cx="700234" cy="184044"/>
                        </a:xfrm>
                        <a:prstGeom prst="rect">
                          <a:avLst/>
                        </a:prstGeom>
                        <a:ln>
                          <a:noFill/>
                        </a:ln>
                      </wps:spPr>
                      <wps:txbx>
                        <w:txbxContent>
                          <w:p w:rsidR="00045DC6" w:rsidRDefault="00F8691C">
                            <w:pPr>
                              <w:spacing w:after="160" w:line="259" w:lineRule="auto"/>
                              <w:ind w:right="0" w:firstLine="0"/>
                              <w:jc w:val="left"/>
                            </w:pPr>
                            <w:r>
                              <w:rPr>
                                <w:rFonts w:ascii="Times New Roman" w:eastAsia="Times New Roman" w:hAnsi="Times New Roman" w:cs="Times New Roman"/>
                                <w:i/>
                                <w:sz w:val="16"/>
                              </w:rPr>
                              <w:t>Sarhadi</w:t>
                            </w:r>
                            <w:r>
                              <w:rPr>
                                <w:rFonts w:ascii="Times New Roman" w:eastAsia="Times New Roman" w:hAnsi="Times New Roman" w:cs="Times New Roman"/>
                                <w:i/>
                                <w:spacing w:val="-3"/>
                                <w:sz w:val="16"/>
                              </w:rPr>
                              <w:t xml:space="preserve"> </w:t>
                            </w:r>
                            <w:r>
                              <w:rPr>
                                <w:rFonts w:ascii="Times New Roman" w:eastAsia="Times New Roman" w:hAnsi="Times New Roman" w:cs="Times New Roman"/>
                                <w:i/>
                                <w:sz w:val="16"/>
                              </w:rPr>
                              <w:t>et</w:t>
                            </w:r>
                            <w:r>
                              <w:rPr>
                                <w:rFonts w:ascii="Times New Roman" w:eastAsia="Times New Roman" w:hAnsi="Times New Roman" w:cs="Times New Roman"/>
                                <w:i/>
                                <w:spacing w:val="-3"/>
                                <w:sz w:val="16"/>
                              </w:rPr>
                              <w:t xml:space="preserve"> </w:t>
                            </w:r>
                            <w:r>
                              <w:rPr>
                                <w:rFonts w:ascii="Times New Roman" w:eastAsia="Times New Roman" w:hAnsi="Times New Roman" w:cs="Times New Roman"/>
                                <w:i/>
                                <w:sz w:val="16"/>
                              </w:rPr>
                              <w:t>al.</w:t>
                            </w:r>
                          </w:p>
                        </w:txbxContent>
                      </wps:txbx>
                      <wps:bodyPr horzOverflow="overflow" vert="horz" lIns="0" tIns="0" rIns="0" bIns="0" rtlCol="0">
                        <a:noAutofit/>
                      </wps:bodyPr>
                    </wps:wsp>
                    <pic:pic xmlns:pic="http://schemas.openxmlformats.org/drawingml/2006/picture">
                      <pic:nvPicPr>
                        <pic:cNvPr id="16119" name="Picture 16119"/>
                        <pic:cNvPicPr/>
                      </pic:nvPicPr>
                      <pic:blipFill>
                        <a:blip r:embed="rId1"/>
                        <a:stretch>
                          <a:fillRect/>
                        </a:stretch>
                      </pic:blipFill>
                      <pic:spPr>
                        <a:xfrm>
                          <a:off x="2808782" y="0"/>
                          <a:ext cx="646437" cy="196928"/>
                        </a:xfrm>
                        <a:prstGeom prst="rect">
                          <a:avLst/>
                        </a:prstGeom>
                      </pic:spPr>
                    </pic:pic>
                    <wps:wsp>
                      <wps:cNvPr id="16120" name="Shape 16120"/>
                      <wps:cNvSpPr/>
                      <wps:spPr>
                        <a:xfrm>
                          <a:off x="0" y="233703"/>
                          <a:ext cx="6263996" cy="0"/>
                        </a:xfrm>
                        <a:custGeom>
                          <a:avLst/>
                          <a:gdLst/>
                          <a:ahLst/>
                          <a:cxnLst/>
                          <a:rect l="0" t="0" r="0" b="0"/>
                          <a:pathLst>
                            <a:path w="6263996">
                              <a:moveTo>
                                <a:pt x="0" y="0"/>
                              </a:moveTo>
                              <a:lnTo>
                                <a:pt x="6263996" y="0"/>
                              </a:lnTo>
                            </a:path>
                          </a:pathLst>
                        </a:custGeom>
                        <a:ln w="7201"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118" style="width:493.232pt;height:18.4018pt;position:absolute;mso-position-horizontal-relative:page;mso-position-horizontal:absolute;margin-left:51.0236pt;mso-position-vertical-relative:page;margin-top:34.2994pt;" coordsize="62640,2337">
              <v:rect id="Rectangle 16121" style="position:absolute;width:32578;height:1840;left:0;top:502;" filled="f" stroked="f">
                <v:textbox inset="0,0,0,0">
                  <w:txbxContent>
                    <w:p>
                      <w:pPr>
                        <w:spacing w:before="0" w:after="160" w:line="259" w:lineRule="auto"/>
                        <w:ind w:right="0" w:firstLine="0"/>
                        <w:jc w:val="left"/>
                      </w:pPr>
                      <w:r>
                        <w:rPr>
                          <w:rFonts w:cs="Times New Roman" w:hAnsi="Times New Roman" w:eastAsia="Times New Roman" w:ascii="Times New Roman"/>
                          <w:i w:val="1"/>
                          <w:sz w:val="16"/>
                        </w:rPr>
                        <w:t xml:space="preserve">Moisture</w:t>
                      </w:r>
                      <w:r>
                        <w:rPr>
                          <w:rFonts w:cs="Times New Roman" w:hAnsi="Times New Roman" w:eastAsia="Times New Roman" w:ascii="Times New Roman"/>
                          <w:i w:val="1"/>
                          <w:spacing w:val="-3"/>
                          <w:sz w:val="16"/>
                        </w:rPr>
                        <w:t xml:space="preserve"> </w:t>
                      </w:r>
                      <w:r>
                        <w:rPr>
                          <w:rFonts w:cs="Times New Roman" w:hAnsi="Times New Roman" w:eastAsia="Times New Roman" w:ascii="Times New Roman"/>
                          <w:i w:val="1"/>
                          <w:sz w:val="16"/>
                        </w:rPr>
                        <w:t xml:space="preserve">effects</w:t>
                      </w:r>
                      <w:r>
                        <w:rPr>
                          <w:rFonts w:cs="Times New Roman" w:hAnsi="Times New Roman" w:eastAsia="Times New Roman" w:ascii="Times New Roman"/>
                          <w:i w:val="1"/>
                          <w:spacing w:val="-3"/>
                          <w:sz w:val="16"/>
                        </w:rPr>
                        <w:t xml:space="preserve"> </w:t>
                      </w:r>
                      <w:r>
                        <w:rPr>
                          <w:rFonts w:cs="Times New Roman" w:hAnsi="Times New Roman" w:eastAsia="Times New Roman" w:ascii="Times New Roman"/>
                          <w:i w:val="1"/>
                          <w:sz w:val="16"/>
                        </w:rPr>
                        <w:t xml:space="preserve">of</w:t>
                      </w:r>
                      <w:r>
                        <w:rPr>
                          <w:rFonts w:cs="Times New Roman" w:hAnsi="Times New Roman" w:eastAsia="Times New Roman" w:ascii="Times New Roman"/>
                          <w:i w:val="1"/>
                          <w:spacing w:val="-3"/>
                          <w:sz w:val="16"/>
                        </w:rPr>
                        <w:t xml:space="preserve"> </w:t>
                      </w:r>
                      <w:r>
                        <w:rPr>
                          <w:rFonts w:cs="Times New Roman" w:hAnsi="Times New Roman" w:eastAsia="Times New Roman" w:ascii="Times New Roman"/>
                          <w:i w:val="1"/>
                          <w:sz w:val="16"/>
                        </w:rPr>
                        <w:t xml:space="preserve">SLN</w:t>
                      </w:r>
                      <w:r>
                        <w:rPr>
                          <w:rFonts w:cs="Times New Roman" w:hAnsi="Times New Roman" w:eastAsia="Times New Roman" w:ascii="Times New Roman"/>
                          <w:i w:val="1"/>
                          <w:spacing w:val="-3"/>
                          <w:sz w:val="16"/>
                        </w:rPr>
                        <w:t xml:space="preserve"> </w:t>
                      </w:r>
                      <w:r>
                        <w:rPr>
                          <w:rFonts w:cs="Times New Roman" w:hAnsi="Times New Roman" w:eastAsia="Times New Roman" w:ascii="Times New Roman"/>
                          <w:i w:val="1"/>
                          <w:sz w:val="16"/>
                        </w:rPr>
                        <w:t xml:space="preserve">NLC,</w:t>
                      </w:r>
                      <w:r>
                        <w:rPr>
                          <w:rFonts w:cs="Times New Roman" w:hAnsi="Times New Roman" w:eastAsia="Times New Roman" w:ascii="Times New Roman"/>
                          <w:i w:val="1"/>
                          <w:spacing w:val="-3"/>
                          <w:sz w:val="16"/>
                        </w:rPr>
                        <w:t xml:space="preserve"> </w:t>
                      </w:r>
                      <w:r>
                        <w:rPr>
                          <w:rFonts w:cs="Times New Roman" w:hAnsi="Times New Roman" w:eastAsia="Times New Roman" w:ascii="Times New Roman"/>
                          <w:i w:val="1"/>
                          <w:sz w:val="16"/>
                        </w:rPr>
                        <w:t xml:space="preserve">deionized</w:t>
                      </w:r>
                      <w:r>
                        <w:rPr>
                          <w:rFonts w:cs="Times New Roman" w:hAnsi="Times New Roman" w:eastAsia="Times New Roman" w:ascii="Times New Roman"/>
                          <w:i w:val="1"/>
                          <w:spacing w:val="-3"/>
                          <w:sz w:val="16"/>
                        </w:rPr>
                        <w:t xml:space="preserve"> </w:t>
                      </w:r>
                      <w:r>
                        <w:rPr>
                          <w:rFonts w:cs="Times New Roman" w:hAnsi="Times New Roman" w:eastAsia="Times New Roman" w:ascii="Times New Roman"/>
                          <w:i w:val="1"/>
                          <w:sz w:val="16"/>
                        </w:rPr>
                        <w:t xml:space="preserve">and</w:t>
                      </w:r>
                      <w:r>
                        <w:rPr>
                          <w:rFonts w:cs="Times New Roman" w:hAnsi="Times New Roman" w:eastAsia="Times New Roman" w:ascii="Times New Roman"/>
                          <w:i w:val="1"/>
                          <w:spacing w:val="-3"/>
                          <w:sz w:val="16"/>
                        </w:rPr>
                        <w:t xml:space="preserve"> </w:t>
                      </w:r>
                      <w:r>
                        <w:rPr>
                          <w:rFonts w:cs="Times New Roman" w:hAnsi="Times New Roman" w:eastAsia="Times New Roman" w:ascii="Times New Roman"/>
                          <w:i w:val="1"/>
                          <w:sz w:val="16"/>
                        </w:rPr>
                        <w:t xml:space="preserve">magnetized</w:t>
                      </w:r>
                      <w:r>
                        <w:rPr>
                          <w:rFonts w:cs="Times New Roman" w:hAnsi="Times New Roman" w:eastAsia="Times New Roman" w:ascii="Times New Roman"/>
                          <w:i w:val="1"/>
                          <w:spacing w:val="-3"/>
                          <w:sz w:val="16"/>
                        </w:rPr>
                        <w:t xml:space="preserve"> </w:t>
                      </w:r>
                      <w:r>
                        <w:rPr>
                          <w:rFonts w:cs="Times New Roman" w:hAnsi="Times New Roman" w:eastAsia="Times New Roman" w:ascii="Times New Roman"/>
                          <w:i w:val="1"/>
                          <w:sz w:val="16"/>
                        </w:rPr>
                        <w:t xml:space="preserve">water</w:t>
                      </w:r>
                    </w:p>
                  </w:txbxContent>
                </v:textbox>
              </v:rect>
              <v:rect id="Rectangle 16122" style="position:absolute;width:7002;height:1840;left:57375;top:502;" filled="f" stroked="f">
                <v:textbox inset="0,0,0,0">
                  <w:txbxContent>
                    <w:p>
                      <w:pPr>
                        <w:spacing w:before="0" w:after="160" w:line="259" w:lineRule="auto"/>
                        <w:ind w:right="0" w:firstLine="0"/>
                        <w:jc w:val="left"/>
                      </w:pPr>
                      <w:r>
                        <w:rPr>
                          <w:rFonts w:cs="Times New Roman" w:hAnsi="Times New Roman" w:eastAsia="Times New Roman" w:ascii="Times New Roman"/>
                          <w:i w:val="1"/>
                          <w:sz w:val="16"/>
                        </w:rPr>
                        <w:t xml:space="preserve">Sarhadi</w:t>
                      </w:r>
                      <w:r>
                        <w:rPr>
                          <w:rFonts w:cs="Times New Roman" w:hAnsi="Times New Roman" w:eastAsia="Times New Roman" w:ascii="Times New Roman"/>
                          <w:i w:val="1"/>
                          <w:spacing w:val="-3"/>
                          <w:sz w:val="16"/>
                        </w:rPr>
                        <w:t xml:space="preserve"> </w:t>
                      </w:r>
                      <w:r>
                        <w:rPr>
                          <w:rFonts w:cs="Times New Roman" w:hAnsi="Times New Roman" w:eastAsia="Times New Roman" w:ascii="Times New Roman"/>
                          <w:i w:val="1"/>
                          <w:sz w:val="16"/>
                        </w:rPr>
                        <w:t xml:space="preserve">et</w:t>
                      </w:r>
                      <w:r>
                        <w:rPr>
                          <w:rFonts w:cs="Times New Roman" w:hAnsi="Times New Roman" w:eastAsia="Times New Roman" w:ascii="Times New Roman"/>
                          <w:i w:val="1"/>
                          <w:spacing w:val="-3"/>
                          <w:sz w:val="16"/>
                        </w:rPr>
                        <w:t xml:space="preserve"> </w:t>
                      </w:r>
                      <w:r>
                        <w:rPr>
                          <w:rFonts w:cs="Times New Roman" w:hAnsi="Times New Roman" w:eastAsia="Times New Roman" w:ascii="Times New Roman"/>
                          <w:i w:val="1"/>
                          <w:sz w:val="16"/>
                        </w:rPr>
                        <w:t xml:space="preserve">al.</w:t>
                      </w:r>
                    </w:p>
                  </w:txbxContent>
                </v:textbox>
              </v:rect>
              <v:shape id="Picture 16119" style="position:absolute;width:6464;height:1969;left:28087;top:0;" filled="f">
                <v:imagedata r:id="rId17"/>
              </v:shape>
              <v:shape id="Shape 16120" style="position:absolute;width:62639;height:0;left:0;top:2337;" coordsize="6263996,0" path="m0,0l6263996,0">
                <v:stroke weight="0.567pt" endcap="flat" joinstyle="miter" miterlimit="2" on="true" color="#000000"/>
                <v:fill on="false" color="#000000" opacity="0"/>
              </v:shape>
              <w10:wrap type="squar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DC6" w:rsidRDefault="00045DC6">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F1E62"/>
    <w:multiLevelType w:val="hybridMultilevel"/>
    <w:tmpl w:val="8B860D96"/>
    <w:lvl w:ilvl="0" w:tplc="77B26172">
      <w:start w:val="1"/>
      <w:numFmt w:val="decimal"/>
      <w:lvlText w:val="%1)"/>
      <w:lvlJc w:val="left"/>
      <w:pPr>
        <w:ind w:left="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C568B89A">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7012CC3C">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C7B86F90">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83F4AEFC">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8D5EDBE0">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C97E781E">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A0102318">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B67EAC9C">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A9B284B"/>
    <w:multiLevelType w:val="hybridMultilevel"/>
    <w:tmpl w:val="EF867380"/>
    <w:lvl w:ilvl="0" w:tplc="78C0CDEC">
      <w:start w:val="1"/>
      <w:numFmt w:val="decimal"/>
      <w:lvlText w:val="%1."/>
      <w:lvlJc w:val="left"/>
      <w:pPr>
        <w:ind w:left="1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616E3CAC">
      <w:start w:val="1"/>
      <w:numFmt w:val="lowerLetter"/>
      <w:lvlText w:val="%2"/>
      <w:lvlJc w:val="left"/>
      <w:pPr>
        <w:ind w:left="10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F1FCD4D2">
      <w:start w:val="1"/>
      <w:numFmt w:val="lowerRoman"/>
      <w:lvlText w:val="%3"/>
      <w:lvlJc w:val="left"/>
      <w:pPr>
        <w:ind w:left="18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168409A0">
      <w:start w:val="1"/>
      <w:numFmt w:val="decimal"/>
      <w:lvlText w:val="%4"/>
      <w:lvlJc w:val="left"/>
      <w:pPr>
        <w:ind w:left="25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BE3816BC">
      <w:start w:val="1"/>
      <w:numFmt w:val="lowerLetter"/>
      <w:lvlText w:val="%5"/>
      <w:lvlJc w:val="left"/>
      <w:pPr>
        <w:ind w:left="324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9836F3F8">
      <w:start w:val="1"/>
      <w:numFmt w:val="lowerRoman"/>
      <w:lvlText w:val="%6"/>
      <w:lvlJc w:val="left"/>
      <w:pPr>
        <w:ind w:left="396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FD4613DE">
      <w:start w:val="1"/>
      <w:numFmt w:val="decimal"/>
      <w:lvlText w:val="%7"/>
      <w:lvlJc w:val="left"/>
      <w:pPr>
        <w:ind w:left="46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6E32D0FA">
      <w:start w:val="1"/>
      <w:numFmt w:val="lowerLetter"/>
      <w:lvlText w:val="%8"/>
      <w:lvlJc w:val="left"/>
      <w:pPr>
        <w:ind w:left="54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AE907D0A">
      <w:start w:val="1"/>
      <w:numFmt w:val="lowerRoman"/>
      <w:lvlText w:val="%9"/>
      <w:lvlJc w:val="left"/>
      <w:pPr>
        <w:ind w:left="61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48313204"/>
    <w:multiLevelType w:val="hybridMultilevel"/>
    <w:tmpl w:val="1E307F5C"/>
    <w:lvl w:ilvl="0" w:tplc="890AB500">
      <w:start w:val="20"/>
      <w:numFmt w:val="decimal"/>
      <w:lvlText w:val="%1."/>
      <w:lvlJc w:val="left"/>
      <w:pPr>
        <w:ind w:left="1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47005E7E">
      <w:start w:val="1"/>
      <w:numFmt w:val="lowerLetter"/>
      <w:lvlText w:val="%2"/>
      <w:lvlJc w:val="left"/>
      <w:pPr>
        <w:ind w:left="10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780284DA">
      <w:start w:val="1"/>
      <w:numFmt w:val="lowerRoman"/>
      <w:lvlText w:val="%3"/>
      <w:lvlJc w:val="left"/>
      <w:pPr>
        <w:ind w:left="18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163ECEBE">
      <w:start w:val="1"/>
      <w:numFmt w:val="decimal"/>
      <w:lvlText w:val="%4"/>
      <w:lvlJc w:val="left"/>
      <w:pPr>
        <w:ind w:left="25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DA629D06">
      <w:start w:val="1"/>
      <w:numFmt w:val="lowerLetter"/>
      <w:lvlText w:val="%5"/>
      <w:lvlJc w:val="left"/>
      <w:pPr>
        <w:ind w:left="324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77E4C3C6">
      <w:start w:val="1"/>
      <w:numFmt w:val="lowerRoman"/>
      <w:lvlText w:val="%6"/>
      <w:lvlJc w:val="left"/>
      <w:pPr>
        <w:ind w:left="396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08F88A6E">
      <w:start w:val="1"/>
      <w:numFmt w:val="decimal"/>
      <w:lvlText w:val="%7"/>
      <w:lvlJc w:val="left"/>
      <w:pPr>
        <w:ind w:left="46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4646428A">
      <w:start w:val="1"/>
      <w:numFmt w:val="lowerLetter"/>
      <w:lvlText w:val="%8"/>
      <w:lvlJc w:val="left"/>
      <w:pPr>
        <w:ind w:left="54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2E62CA16">
      <w:start w:val="1"/>
      <w:numFmt w:val="lowerRoman"/>
      <w:lvlText w:val="%9"/>
      <w:lvlJc w:val="left"/>
      <w:pPr>
        <w:ind w:left="61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63CC5B82"/>
    <w:multiLevelType w:val="hybridMultilevel"/>
    <w:tmpl w:val="B350AD82"/>
    <w:lvl w:ilvl="0" w:tplc="E24E8014">
      <w:start w:val="1"/>
      <w:numFmt w:val="decimal"/>
      <w:lvlText w:val="%1"/>
      <w:lvlJc w:val="left"/>
      <w:pPr>
        <w:ind w:left="87"/>
      </w:pPr>
      <w:rPr>
        <w:rFonts w:ascii="Cambria" w:eastAsia="Cambria" w:hAnsi="Cambria" w:cs="Cambria"/>
        <w:b w:val="0"/>
        <w:i w:val="0"/>
        <w:strike w:val="0"/>
        <w:dstrike w:val="0"/>
        <w:color w:val="000000"/>
        <w:sz w:val="14"/>
        <w:szCs w:val="14"/>
        <w:u w:val="none" w:color="000000"/>
        <w:bdr w:val="none" w:sz="0" w:space="0" w:color="auto"/>
        <w:shd w:val="clear" w:color="auto" w:fill="auto"/>
        <w:vertAlign w:val="superscript"/>
      </w:rPr>
    </w:lvl>
    <w:lvl w:ilvl="1" w:tplc="068CA02E">
      <w:start w:val="1"/>
      <w:numFmt w:val="lowerLetter"/>
      <w:lvlText w:val="%2"/>
      <w:lvlJc w:val="left"/>
      <w:pPr>
        <w:ind w:left="1080"/>
      </w:pPr>
      <w:rPr>
        <w:rFonts w:ascii="Cambria" w:eastAsia="Cambria" w:hAnsi="Cambria" w:cs="Cambria"/>
        <w:b w:val="0"/>
        <w:i w:val="0"/>
        <w:strike w:val="0"/>
        <w:dstrike w:val="0"/>
        <w:color w:val="000000"/>
        <w:sz w:val="14"/>
        <w:szCs w:val="14"/>
        <w:u w:val="none" w:color="000000"/>
        <w:bdr w:val="none" w:sz="0" w:space="0" w:color="auto"/>
        <w:shd w:val="clear" w:color="auto" w:fill="auto"/>
        <w:vertAlign w:val="superscript"/>
      </w:rPr>
    </w:lvl>
    <w:lvl w:ilvl="2" w:tplc="7A5C872C">
      <w:start w:val="1"/>
      <w:numFmt w:val="lowerRoman"/>
      <w:lvlText w:val="%3"/>
      <w:lvlJc w:val="left"/>
      <w:pPr>
        <w:ind w:left="1800"/>
      </w:pPr>
      <w:rPr>
        <w:rFonts w:ascii="Cambria" w:eastAsia="Cambria" w:hAnsi="Cambria" w:cs="Cambria"/>
        <w:b w:val="0"/>
        <w:i w:val="0"/>
        <w:strike w:val="0"/>
        <w:dstrike w:val="0"/>
        <w:color w:val="000000"/>
        <w:sz w:val="14"/>
        <w:szCs w:val="14"/>
        <w:u w:val="none" w:color="000000"/>
        <w:bdr w:val="none" w:sz="0" w:space="0" w:color="auto"/>
        <w:shd w:val="clear" w:color="auto" w:fill="auto"/>
        <w:vertAlign w:val="superscript"/>
      </w:rPr>
    </w:lvl>
    <w:lvl w:ilvl="3" w:tplc="4C26D968">
      <w:start w:val="1"/>
      <w:numFmt w:val="decimal"/>
      <w:lvlText w:val="%4"/>
      <w:lvlJc w:val="left"/>
      <w:pPr>
        <w:ind w:left="2520"/>
      </w:pPr>
      <w:rPr>
        <w:rFonts w:ascii="Cambria" w:eastAsia="Cambria" w:hAnsi="Cambria" w:cs="Cambria"/>
        <w:b w:val="0"/>
        <w:i w:val="0"/>
        <w:strike w:val="0"/>
        <w:dstrike w:val="0"/>
        <w:color w:val="000000"/>
        <w:sz w:val="14"/>
        <w:szCs w:val="14"/>
        <w:u w:val="none" w:color="000000"/>
        <w:bdr w:val="none" w:sz="0" w:space="0" w:color="auto"/>
        <w:shd w:val="clear" w:color="auto" w:fill="auto"/>
        <w:vertAlign w:val="superscript"/>
      </w:rPr>
    </w:lvl>
    <w:lvl w:ilvl="4" w:tplc="08DE7476">
      <w:start w:val="1"/>
      <w:numFmt w:val="lowerLetter"/>
      <w:lvlText w:val="%5"/>
      <w:lvlJc w:val="left"/>
      <w:pPr>
        <w:ind w:left="3240"/>
      </w:pPr>
      <w:rPr>
        <w:rFonts w:ascii="Cambria" w:eastAsia="Cambria" w:hAnsi="Cambria" w:cs="Cambria"/>
        <w:b w:val="0"/>
        <w:i w:val="0"/>
        <w:strike w:val="0"/>
        <w:dstrike w:val="0"/>
        <w:color w:val="000000"/>
        <w:sz w:val="14"/>
        <w:szCs w:val="14"/>
        <w:u w:val="none" w:color="000000"/>
        <w:bdr w:val="none" w:sz="0" w:space="0" w:color="auto"/>
        <w:shd w:val="clear" w:color="auto" w:fill="auto"/>
        <w:vertAlign w:val="superscript"/>
      </w:rPr>
    </w:lvl>
    <w:lvl w:ilvl="5" w:tplc="5CB879CA">
      <w:start w:val="1"/>
      <w:numFmt w:val="lowerRoman"/>
      <w:lvlText w:val="%6"/>
      <w:lvlJc w:val="left"/>
      <w:pPr>
        <w:ind w:left="3960"/>
      </w:pPr>
      <w:rPr>
        <w:rFonts w:ascii="Cambria" w:eastAsia="Cambria" w:hAnsi="Cambria" w:cs="Cambria"/>
        <w:b w:val="0"/>
        <w:i w:val="0"/>
        <w:strike w:val="0"/>
        <w:dstrike w:val="0"/>
        <w:color w:val="000000"/>
        <w:sz w:val="14"/>
        <w:szCs w:val="14"/>
        <w:u w:val="none" w:color="000000"/>
        <w:bdr w:val="none" w:sz="0" w:space="0" w:color="auto"/>
        <w:shd w:val="clear" w:color="auto" w:fill="auto"/>
        <w:vertAlign w:val="superscript"/>
      </w:rPr>
    </w:lvl>
    <w:lvl w:ilvl="6" w:tplc="BEAEA63A">
      <w:start w:val="1"/>
      <w:numFmt w:val="decimal"/>
      <w:lvlText w:val="%7"/>
      <w:lvlJc w:val="left"/>
      <w:pPr>
        <w:ind w:left="4680"/>
      </w:pPr>
      <w:rPr>
        <w:rFonts w:ascii="Cambria" w:eastAsia="Cambria" w:hAnsi="Cambria" w:cs="Cambria"/>
        <w:b w:val="0"/>
        <w:i w:val="0"/>
        <w:strike w:val="0"/>
        <w:dstrike w:val="0"/>
        <w:color w:val="000000"/>
        <w:sz w:val="14"/>
        <w:szCs w:val="14"/>
        <w:u w:val="none" w:color="000000"/>
        <w:bdr w:val="none" w:sz="0" w:space="0" w:color="auto"/>
        <w:shd w:val="clear" w:color="auto" w:fill="auto"/>
        <w:vertAlign w:val="superscript"/>
      </w:rPr>
    </w:lvl>
    <w:lvl w:ilvl="7" w:tplc="ABBCBAC4">
      <w:start w:val="1"/>
      <w:numFmt w:val="lowerLetter"/>
      <w:lvlText w:val="%8"/>
      <w:lvlJc w:val="left"/>
      <w:pPr>
        <w:ind w:left="5400"/>
      </w:pPr>
      <w:rPr>
        <w:rFonts w:ascii="Cambria" w:eastAsia="Cambria" w:hAnsi="Cambria" w:cs="Cambria"/>
        <w:b w:val="0"/>
        <w:i w:val="0"/>
        <w:strike w:val="0"/>
        <w:dstrike w:val="0"/>
        <w:color w:val="000000"/>
        <w:sz w:val="14"/>
        <w:szCs w:val="14"/>
        <w:u w:val="none" w:color="000000"/>
        <w:bdr w:val="none" w:sz="0" w:space="0" w:color="auto"/>
        <w:shd w:val="clear" w:color="auto" w:fill="auto"/>
        <w:vertAlign w:val="superscript"/>
      </w:rPr>
    </w:lvl>
    <w:lvl w:ilvl="8" w:tplc="604227F4">
      <w:start w:val="1"/>
      <w:numFmt w:val="lowerRoman"/>
      <w:lvlText w:val="%9"/>
      <w:lvlJc w:val="left"/>
      <w:pPr>
        <w:ind w:left="6120"/>
      </w:pPr>
      <w:rPr>
        <w:rFonts w:ascii="Cambria" w:eastAsia="Cambria" w:hAnsi="Cambria" w:cs="Cambria"/>
        <w:b w:val="0"/>
        <w:i w:val="0"/>
        <w:strike w:val="0"/>
        <w:dstrike w:val="0"/>
        <w:color w:val="000000"/>
        <w:sz w:val="14"/>
        <w:szCs w:val="14"/>
        <w:u w:val="none" w:color="000000"/>
        <w:bdr w:val="none" w:sz="0" w:space="0" w:color="auto"/>
        <w:shd w:val="clear" w:color="auto" w:fill="auto"/>
        <w:vertAlign w:val="superscrip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DC6"/>
    <w:rsid w:val="00045DC6"/>
    <w:rsid w:val="00D0030F"/>
    <w:rsid w:val="00F869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C01A47-4A52-471E-A7E7-4D494CF9D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20" w:lineRule="auto"/>
      <w:ind w:right="45" w:firstLine="217"/>
      <w:jc w:val="both"/>
    </w:pPr>
    <w:rPr>
      <w:rFonts w:ascii="Cambria" w:eastAsia="Cambria" w:hAnsi="Cambria" w:cs="Cambria"/>
      <w:color w:val="000000"/>
      <w:sz w:val="20"/>
    </w:rPr>
  </w:style>
  <w:style w:type="paragraph" w:styleId="Heading1">
    <w:name w:val="heading 1"/>
    <w:next w:val="Normal"/>
    <w:link w:val="Heading1Char"/>
    <w:uiPriority w:val="9"/>
    <w:unhideWhenUsed/>
    <w:qFormat/>
    <w:pPr>
      <w:keepNext/>
      <w:keepLines/>
      <w:shd w:val="clear" w:color="auto" w:fill="79519E"/>
      <w:spacing w:before="175" w:after="0"/>
      <w:ind w:left="10" w:hanging="10"/>
      <w:outlineLvl w:val="0"/>
    </w:pPr>
    <w:rPr>
      <w:rFonts w:ascii="Cambria" w:eastAsia="Cambria" w:hAnsi="Cambria" w:cs="Cambria"/>
      <w:b/>
      <w:color w:val="FFFFFF"/>
    </w:rPr>
  </w:style>
  <w:style w:type="paragraph" w:styleId="Heading2">
    <w:name w:val="heading 2"/>
    <w:next w:val="Normal"/>
    <w:link w:val="Heading2Char"/>
    <w:uiPriority w:val="9"/>
    <w:unhideWhenUsed/>
    <w:qFormat/>
    <w:pPr>
      <w:keepNext/>
      <w:keepLines/>
      <w:spacing w:after="0"/>
      <w:ind w:left="10" w:hanging="10"/>
      <w:outlineLvl w:val="1"/>
    </w:pPr>
    <w:rPr>
      <w:rFonts w:ascii="Cambria" w:eastAsia="Cambria" w:hAnsi="Cambria" w:cs="Cambria"/>
      <w:b/>
      <w:i/>
      <w:color w:val="000000"/>
      <w:sz w:val="20"/>
    </w:rPr>
  </w:style>
  <w:style w:type="paragraph" w:styleId="Heading3">
    <w:name w:val="heading 3"/>
    <w:next w:val="Normal"/>
    <w:link w:val="Heading3Char"/>
    <w:uiPriority w:val="9"/>
    <w:unhideWhenUsed/>
    <w:qFormat/>
    <w:pPr>
      <w:keepNext/>
      <w:keepLines/>
      <w:spacing w:after="0"/>
      <w:ind w:left="10" w:hanging="10"/>
      <w:outlineLvl w:val="2"/>
    </w:pPr>
    <w:rPr>
      <w:rFonts w:ascii="Cambria" w:eastAsia="Cambria" w:hAnsi="Cambria" w:cs="Cambria"/>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mbria" w:eastAsia="Cambria" w:hAnsi="Cambria" w:cs="Cambria"/>
      <w:i/>
      <w:color w:val="000000"/>
      <w:sz w:val="20"/>
    </w:rPr>
  </w:style>
  <w:style w:type="character" w:customStyle="1" w:styleId="Heading2Char">
    <w:name w:val="Heading 2 Char"/>
    <w:link w:val="Heading2"/>
    <w:rPr>
      <w:rFonts w:ascii="Cambria" w:eastAsia="Cambria" w:hAnsi="Cambria" w:cs="Cambria"/>
      <w:b/>
      <w:i/>
      <w:color w:val="000000"/>
      <w:sz w:val="20"/>
    </w:rPr>
  </w:style>
  <w:style w:type="character" w:customStyle="1" w:styleId="Heading1Char">
    <w:name w:val="Heading 1 Char"/>
    <w:link w:val="Heading1"/>
    <w:rPr>
      <w:rFonts w:ascii="Cambria" w:eastAsia="Cambria" w:hAnsi="Cambria" w:cs="Cambria"/>
      <w:b/>
      <w:color w:val="FFFFFF"/>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ijbms.mums.ac.ir/" TargetMode="External"/><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60.jp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jp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50.jp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40.jpg"/><Relationship Id="rId28" Type="http://schemas.openxmlformats.org/officeDocument/2006/relationships/image" Target="media/image10.png"/><Relationship Id="rId10" Type="http://schemas.openxmlformats.org/officeDocument/2006/relationships/image" Target="media/image0.jpg"/><Relationship Id="hyperlink157" Type="http://schemas.openxmlformats.org/officeDocument/2006/relationships/hyperlink" Target="http://ijbms.mums.ac.ir/" TargetMode="External"/><Relationship Id="rId19" Type="http://schemas.openxmlformats.org/officeDocument/2006/relationships/image" Target="media/image5.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ijbms.mums.ac.ir/" TargetMode="External"/><Relationship Id="rId14" Type="http://schemas.openxmlformats.org/officeDocument/2006/relationships/footer" Target="footer2.xml"/><Relationship Id="rId22" Type="http://schemas.openxmlformats.org/officeDocument/2006/relationships/image" Target="media/image30.jpg"/><Relationship Id="rId27" Type="http://schemas.openxmlformats.org/officeDocument/2006/relationships/image" Target="media/image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7" Type="http://schemas.openxmlformats.org/officeDocument/2006/relationships/image" Target="media/image10.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7" Type="http://schemas.openxmlformats.org/officeDocument/2006/relationships/image" Target="media/image10.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4505</Words>
  <Characters>25685</Characters>
  <Application>Microsoft Office Word</Application>
  <DocSecurity>0</DocSecurity>
  <Lines>214</Lines>
  <Paragraphs>60</Paragraphs>
  <ScaleCrop>false</ScaleCrop>
  <Company/>
  <LinksUpToDate>false</LinksUpToDate>
  <CharactersWithSpaces>30130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Spectroscopic investigation on the interaction of DNA with superparamagnetic iron oxide nanoparticles doped with chromene via dopamine as cross linker</dc:title>
  <dc:subject>Objective(s): The interaction of DNA with iron oxide nanoparticles (SPIONs) was studied to find out the interaction mechanism and design new drug delivery systems.
Materials and Methods: The interaction of calf thymus DNA (ctDNA) with SPIONs doped with 2H-chromene via dopamine as cross linker (SPIONs@DA-Chr) was studied using the UV absorption spectroscopy, viscosity measurement, circular dichroism, fluorescence and FT-IR spectroscopic techniques.
Results: UV absorption study showed hyperchromic effect in the spectra of DNA. Few changes were observed in the viscosity of ctDNA in the presence of different concentration of SPIONs@DA-Chr. The result of circular dichroism (CD) suggested that SPIONs@DA-Chr can change the secondary structure of DNA. Further, fluorescence quenching reaction of ctDNA with SPIONs@DA-Chr and competitive fluorescence spectroscopy studied by using methylene blue, have shown that the SPIONs@DA-Chr can bind to ctDNA through non-intercalative mode. FT-IR spectroscopy confirmed the binding of SPIONs@DA-Chr and ctDNA. 
Conclusion: These results suggested that SPIONs@DA-Chr binds to DNA via groove binding mode.</dc:subject>
  <dc:creator>Maryam Mehdipour 1</dc:creator>
  <cp:keywords/>
  <cp:lastModifiedBy>Mostafa</cp:lastModifiedBy>
  <cp:revision>2</cp:revision>
  <dcterms:created xsi:type="dcterms:W3CDTF">2020-01-25T18:31:00Z</dcterms:created>
  <dcterms:modified xsi:type="dcterms:W3CDTF">2020-01-25T18:31:00Z</dcterms:modified>
</cp:coreProperties>
</file>