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3392E" w14:textId="77777777" w:rsidR="00885B3B" w:rsidRDefault="00885B3B" w:rsidP="00843098">
      <w:pPr>
        <w:jc w:val="center"/>
        <w:rPr>
          <w:b/>
          <w:bCs/>
          <w:sz w:val="32"/>
          <w:szCs w:val="32"/>
          <w:rtl/>
          <w:lang w:val="en-US" w:bidi="fa-IR"/>
        </w:rPr>
      </w:pPr>
    </w:p>
    <w:p w14:paraId="3637251F" w14:textId="3AE76010" w:rsidR="00DB3865" w:rsidRPr="00781F4C" w:rsidRDefault="00843098" w:rsidP="00F41FAE">
      <w:pPr>
        <w:rPr>
          <w:i/>
          <w:iCs/>
          <w:sz w:val="22"/>
          <w:szCs w:val="22"/>
          <w:lang w:val="en-US"/>
        </w:rPr>
      </w:pPr>
      <w:r w:rsidRPr="00781F4C">
        <w:rPr>
          <w:i/>
          <w:iCs/>
          <w:sz w:val="22"/>
          <w:szCs w:val="22"/>
          <w:lang w:val="en-US"/>
        </w:rPr>
        <w:t>Do export quality</w:t>
      </w:r>
      <w:r w:rsidR="00AE66A5" w:rsidRPr="00781F4C">
        <w:rPr>
          <w:i/>
          <w:iCs/>
          <w:sz w:val="22"/>
          <w:szCs w:val="22"/>
          <w:lang w:val="en-US"/>
        </w:rPr>
        <w:t>, urbanization</w:t>
      </w:r>
      <w:r w:rsidRPr="00781F4C">
        <w:rPr>
          <w:i/>
          <w:iCs/>
          <w:sz w:val="22"/>
          <w:szCs w:val="22"/>
          <w:lang w:val="en-US"/>
        </w:rPr>
        <w:t xml:space="preserve"> and fertility rate affect the ecological footprint? </w:t>
      </w:r>
      <w:r w:rsidR="004D10AD" w:rsidRPr="00781F4C">
        <w:rPr>
          <w:i/>
          <w:iCs/>
          <w:sz w:val="22"/>
          <w:szCs w:val="22"/>
          <w:lang w:val="en-US"/>
        </w:rPr>
        <w:t>(</w:t>
      </w:r>
      <w:r w:rsidRPr="00781F4C">
        <w:rPr>
          <w:i/>
          <w:iCs/>
          <w:sz w:val="22"/>
          <w:szCs w:val="22"/>
          <w:lang w:val="en-US"/>
        </w:rPr>
        <w:t>Case study: A panel of developing countries</w:t>
      </w:r>
      <w:r w:rsidR="004D10AD" w:rsidRPr="00781F4C">
        <w:rPr>
          <w:i/>
          <w:iCs/>
          <w:sz w:val="22"/>
          <w:szCs w:val="22"/>
          <w:lang w:val="en-US"/>
        </w:rPr>
        <w:t>)</w:t>
      </w:r>
    </w:p>
    <w:p w14:paraId="7C97E7DB" w14:textId="77777777" w:rsidR="00DB3865" w:rsidRPr="00781F4C" w:rsidRDefault="00DB3865">
      <w:pPr>
        <w:rPr>
          <w:rtl/>
          <w:lang w:val="en-US" w:bidi="fa-IR"/>
        </w:rPr>
      </w:pPr>
    </w:p>
    <w:p w14:paraId="4B9781D8" w14:textId="06FF5E7E" w:rsidR="00751A1B" w:rsidRPr="00EF7BE4" w:rsidRDefault="00B04024" w:rsidP="00023382">
      <w:pPr>
        <w:jc w:val="center"/>
        <w:rPr>
          <w:color w:val="000000" w:themeColor="text1"/>
          <w:sz w:val="22"/>
          <w:szCs w:val="22"/>
          <w:lang w:val="en-US"/>
        </w:rPr>
      </w:pPr>
      <w:r w:rsidRPr="00EF7BE4">
        <w:rPr>
          <w:color w:val="000000" w:themeColor="text1"/>
          <w:sz w:val="22"/>
          <w:szCs w:val="22"/>
          <w:lang w:val="en-US"/>
        </w:rPr>
        <w:t>Fariba Osmani</w:t>
      </w:r>
      <w:r w:rsidR="0028074E" w:rsidRPr="00EF7BE4">
        <w:rPr>
          <w:rStyle w:val="FootnoteReference"/>
          <w:rFonts w:ascii="Cambria Math" w:hAnsi="Cambria Math" w:cs="Cambria Math"/>
          <w:color w:val="000000" w:themeColor="text1"/>
          <w:sz w:val="22"/>
          <w:szCs w:val="22"/>
          <w:lang w:val="en-US"/>
        </w:rPr>
        <w:footnoteReference w:customMarkFollows="1" w:id="1"/>
        <w:t>∗</w:t>
      </w:r>
      <w:r w:rsidRPr="00EF7BE4">
        <w:rPr>
          <w:color w:val="000000" w:themeColor="text1"/>
          <w:sz w:val="22"/>
          <w:szCs w:val="22"/>
          <w:lang w:val="en-US"/>
        </w:rPr>
        <w:t xml:space="preserve">, </w:t>
      </w:r>
      <w:proofErr w:type="spellStart"/>
      <w:r w:rsidR="0028074E" w:rsidRPr="00EF7BE4">
        <w:rPr>
          <w:color w:val="000000" w:themeColor="text1"/>
          <w:sz w:val="22"/>
          <w:szCs w:val="22"/>
          <w:lang w:val="en-US"/>
        </w:rPr>
        <w:t>Masuod</w:t>
      </w:r>
      <w:proofErr w:type="spellEnd"/>
      <w:r w:rsidR="0028074E" w:rsidRPr="00EF7BE4">
        <w:rPr>
          <w:color w:val="000000" w:themeColor="text1"/>
          <w:sz w:val="22"/>
          <w:szCs w:val="22"/>
          <w:lang w:val="en-US"/>
        </w:rPr>
        <w:t xml:space="preserve"> Homayounifar</w:t>
      </w:r>
      <w:r w:rsidR="0028074E" w:rsidRPr="00EF7BE4">
        <w:rPr>
          <w:rStyle w:val="FootnoteReference"/>
          <w:rFonts w:ascii="Cambria Math" w:hAnsi="Cambria Math" w:cs="Cambria Math"/>
          <w:color w:val="000000" w:themeColor="text1"/>
          <w:sz w:val="22"/>
          <w:szCs w:val="22"/>
          <w:lang w:val="en-US"/>
        </w:rPr>
        <w:footnoteReference w:customMarkFollows="1" w:id="2"/>
        <w:t>∗∗</w:t>
      </w:r>
      <w:r w:rsidR="0028074E" w:rsidRPr="00EF7BE4">
        <w:rPr>
          <w:color w:val="000000" w:themeColor="text1"/>
          <w:sz w:val="22"/>
          <w:szCs w:val="22"/>
          <w:lang w:val="en-US"/>
        </w:rPr>
        <w:t xml:space="preserve"> </w:t>
      </w:r>
      <w:r w:rsidR="004F1226" w:rsidRPr="00EF7BE4">
        <w:rPr>
          <w:color w:val="000000" w:themeColor="text1"/>
          <w:sz w:val="22"/>
          <w:szCs w:val="22"/>
          <w:lang w:val="en-US"/>
        </w:rPr>
        <w:t>and</w:t>
      </w:r>
      <w:r w:rsidR="00E34F32">
        <w:rPr>
          <w:color w:val="000000" w:themeColor="text1"/>
          <w:sz w:val="22"/>
          <w:szCs w:val="22"/>
          <w:lang w:val="en-US"/>
        </w:rPr>
        <w:t xml:space="preserve"> </w:t>
      </w:r>
      <w:r w:rsidR="004F1226" w:rsidRPr="00EF7BE4">
        <w:rPr>
          <w:color w:val="000000" w:themeColor="text1"/>
          <w:sz w:val="22"/>
          <w:szCs w:val="22"/>
          <w:lang w:val="en-US"/>
        </w:rPr>
        <w:t xml:space="preserve">Mohammad Javad </w:t>
      </w:r>
      <w:proofErr w:type="spellStart"/>
      <w:r w:rsidR="004F1226" w:rsidRPr="00EF7BE4">
        <w:rPr>
          <w:color w:val="000000" w:themeColor="text1"/>
          <w:sz w:val="22"/>
          <w:szCs w:val="22"/>
          <w:lang w:val="en-US"/>
        </w:rPr>
        <w:t>Gorjipour</w:t>
      </w:r>
      <w:proofErr w:type="spellEnd"/>
      <w:r w:rsidR="0028074E" w:rsidRPr="00EF7BE4">
        <w:rPr>
          <w:rStyle w:val="FootnoteReference"/>
          <w:rFonts w:ascii="Cambria Math" w:hAnsi="Cambria Math" w:cs="Cambria Math"/>
          <w:color w:val="000000" w:themeColor="text1"/>
          <w:sz w:val="22"/>
          <w:szCs w:val="22"/>
          <w:lang w:val="en-US"/>
        </w:rPr>
        <w:footnoteReference w:customMarkFollows="1" w:id="3"/>
        <w:t>∗∗∗</w:t>
      </w:r>
    </w:p>
    <w:p w14:paraId="29017140" w14:textId="601347DA" w:rsidR="00211449" w:rsidRPr="00781F4C" w:rsidRDefault="00211449" w:rsidP="00023382">
      <w:pPr>
        <w:spacing w:before="60"/>
        <w:rPr>
          <w:sz w:val="16"/>
          <w:szCs w:val="16"/>
          <w:lang w:val="en-US"/>
        </w:rPr>
      </w:pPr>
    </w:p>
    <w:p w14:paraId="14ED75A7" w14:textId="77777777" w:rsidR="00751A1B" w:rsidRPr="00781F4C" w:rsidRDefault="00751A1B" w:rsidP="00795DFD">
      <w:pPr>
        <w:jc w:val="both"/>
        <w:rPr>
          <w:sz w:val="16"/>
          <w:szCs w:val="16"/>
        </w:rPr>
      </w:pPr>
    </w:p>
    <w:p w14:paraId="16DF4A3A" w14:textId="77777777" w:rsidR="00795DFD" w:rsidRPr="00781F4C" w:rsidRDefault="006E3EC8" w:rsidP="00795DFD">
      <w:pPr>
        <w:jc w:val="both"/>
        <w:rPr>
          <w:sz w:val="20"/>
          <w:szCs w:val="20"/>
          <w:lang w:val="en-US"/>
        </w:rPr>
      </w:pPr>
      <w:r w:rsidRPr="00781F4C">
        <w:rPr>
          <w:b/>
          <w:bCs/>
          <w:sz w:val="20"/>
          <w:szCs w:val="20"/>
          <w:lang w:val="en-US"/>
        </w:rPr>
        <w:t>Abstract</w:t>
      </w:r>
      <w:r w:rsidRPr="00781F4C">
        <w:rPr>
          <w:sz w:val="20"/>
          <w:szCs w:val="20"/>
          <w:lang w:val="en-US"/>
        </w:rPr>
        <w:t>:</w:t>
      </w:r>
      <w:r w:rsidR="00211449" w:rsidRPr="00781F4C">
        <w:rPr>
          <w:sz w:val="20"/>
          <w:szCs w:val="20"/>
          <w:lang w:val="en-US"/>
        </w:rPr>
        <w:t xml:space="preserve"> </w:t>
      </w:r>
    </w:p>
    <w:p w14:paraId="7B3D4101" w14:textId="00BADEDB" w:rsidR="004C7202" w:rsidRPr="00781F4C" w:rsidRDefault="004C7202" w:rsidP="00B85C59">
      <w:pPr>
        <w:tabs>
          <w:tab w:val="left" w:pos="3420"/>
        </w:tabs>
        <w:jc w:val="both"/>
        <w:rPr>
          <w:sz w:val="20"/>
          <w:szCs w:val="20"/>
          <w:lang w:val="en-US"/>
        </w:rPr>
      </w:pPr>
      <w:r w:rsidRPr="00781F4C">
        <w:rPr>
          <w:sz w:val="20"/>
          <w:szCs w:val="20"/>
          <w:lang w:val="en-US"/>
        </w:rPr>
        <w:t>The purpose of this study is to investigate the effect of export quality and fertility rate on ecological footprint in a panel of developing countries. For this purpose, panel quantile regression in the period 1990-2014 has been used. Also in this study, the variables of trade openness, urbanization</w:t>
      </w:r>
      <w:r w:rsidR="0023229F" w:rsidRPr="00781F4C">
        <w:rPr>
          <w:sz w:val="20"/>
          <w:szCs w:val="20"/>
          <w:lang w:val="en-US"/>
        </w:rPr>
        <w:t>,</w:t>
      </w:r>
      <w:r w:rsidRPr="00781F4C">
        <w:rPr>
          <w:sz w:val="20"/>
          <w:szCs w:val="20"/>
          <w:lang w:val="en-US"/>
        </w:rPr>
        <w:t xml:space="preserve"> and GDP per capita were considered as observer variables. Experimental results show that the quality of exports and Fertility rate at all levels of the quantile improve the quality of the environment. Open trade and urbanization help to improve the quality of the environment. GDP per capita further degrades the environment. Therefore, policymakers</w:t>
      </w:r>
      <w:r w:rsidR="000C4B0D" w:rsidRPr="00781F4C">
        <w:rPr>
          <w:sz w:val="20"/>
          <w:szCs w:val="20"/>
          <w:lang w:val="en-US"/>
        </w:rPr>
        <w:t xml:space="preserve"> </w:t>
      </w:r>
      <w:r w:rsidR="00AE64DF" w:rsidRPr="00781F4C">
        <w:rPr>
          <w:sz w:val="20"/>
          <w:szCs w:val="20"/>
          <w:lang w:val="en-US"/>
        </w:rPr>
        <w:t>should take into account these factors affecting the ecological footprint and adopt appropriate policies.</w:t>
      </w:r>
      <w:r w:rsidRPr="00781F4C">
        <w:rPr>
          <w:sz w:val="20"/>
          <w:szCs w:val="20"/>
          <w:lang w:val="en-US"/>
        </w:rPr>
        <w:t xml:space="preserve"> </w:t>
      </w:r>
    </w:p>
    <w:p w14:paraId="34B5D52E" w14:textId="112A2741" w:rsidR="006E3EC8" w:rsidRPr="00781F4C" w:rsidRDefault="00C50A9B" w:rsidP="00C50A9B">
      <w:pPr>
        <w:tabs>
          <w:tab w:val="left" w:pos="3420"/>
        </w:tabs>
        <w:jc w:val="both"/>
        <w:rPr>
          <w:sz w:val="20"/>
          <w:szCs w:val="20"/>
          <w:lang w:val="en-US"/>
        </w:rPr>
      </w:pPr>
      <w:r w:rsidRPr="00781F4C">
        <w:rPr>
          <w:sz w:val="20"/>
          <w:szCs w:val="20"/>
          <w:lang w:val="en-US"/>
        </w:rPr>
        <w:tab/>
      </w:r>
    </w:p>
    <w:p w14:paraId="3EC01AB8" w14:textId="016272CA" w:rsidR="006E3EC8" w:rsidRPr="00781F4C" w:rsidRDefault="006E3EC8" w:rsidP="006E3EC8">
      <w:pPr>
        <w:jc w:val="both"/>
        <w:rPr>
          <w:sz w:val="20"/>
          <w:szCs w:val="20"/>
          <w:lang w:val="en-US"/>
        </w:rPr>
      </w:pPr>
      <w:r w:rsidRPr="00781F4C">
        <w:rPr>
          <w:b/>
          <w:bCs/>
          <w:sz w:val="20"/>
          <w:szCs w:val="20"/>
          <w:lang w:val="en-US"/>
        </w:rPr>
        <w:t>Keywords</w:t>
      </w:r>
      <w:r w:rsidR="00C4383D" w:rsidRPr="00781F4C">
        <w:rPr>
          <w:sz w:val="20"/>
          <w:szCs w:val="20"/>
          <w:lang w:val="en-US"/>
        </w:rPr>
        <w:t xml:space="preserve">: </w:t>
      </w:r>
      <w:r w:rsidR="00FF13CE" w:rsidRPr="00781F4C">
        <w:rPr>
          <w:sz w:val="20"/>
          <w:szCs w:val="20"/>
          <w:lang w:val="en-US"/>
        </w:rPr>
        <w:t xml:space="preserve">export quality, </w:t>
      </w:r>
      <w:r w:rsidR="00C4383D" w:rsidRPr="00781F4C">
        <w:rPr>
          <w:sz w:val="20"/>
          <w:szCs w:val="20"/>
          <w:lang w:val="en-US"/>
        </w:rPr>
        <w:t xml:space="preserve">fertility rate, </w:t>
      </w:r>
      <w:r w:rsidR="00FF13CE" w:rsidRPr="00781F4C">
        <w:rPr>
          <w:sz w:val="20"/>
          <w:szCs w:val="20"/>
          <w:lang w:val="en-US"/>
        </w:rPr>
        <w:t>ecologic</w:t>
      </w:r>
      <w:r w:rsidR="00C4383D" w:rsidRPr="00781F4C">
        <w:rPr>
          <w:sz w:val="20"/>
          <w:szCs w:val="20"/>
          <w:lang w:val="en-US"/>
        </w:rPr>
        <w:t xml:space="preserve">al footprint, </w:t>
      </w:r>
      <w:r w:rsidR="00FF13CE" w:rsidRPr="00781F4C">
        <w:rPr>
          <w:sz w:val="20"/>
          <w:szCs w:val="20"/>
          <w:lang w:val="en-US"/>
        </w:rPr>
        <w:t>panel quantile regression.</w:t>
      </w:r>
    </w:p>
    <w:p w14:paraId="38FA6E05" w14:textId="7A5B97BF" w:rsidR="006830A5" w:rsidRPr="00781F4C" w:rsidRDefault="009E5558" w:rsidP="006830A5">
      <w:pPr>
        <w:jc w:val="both"/>
        <w:rPr>
          <w:sz w:val="20"/>
          <w:szCs w:val="20"/>
          <w:lang w:val="en-US" w:bidi="fa-IR"/>
        </w:rPr>
      </w:pPr>
      <w:r w:rsidRPr="00781F4C">
        <w:rPr>
          <w:b/>
          <w:bCs/>
          <w:sz w:val="20"/>
          <w:szCs w:val="20"/>
          <w:lang w:val="en-US"/>
        </w:rPr>
        <w:t>Classification JEL:</w:t>
      </w:r>
      <w:r w:rsidR="006830A5" w:rsidRPr="00781F4C">
        <w:rPr>
          <w:sz w:val="20"/>
          <w:szCs w:val="20"/>
          <w:lang w:val="en-US"/>
        </w:rPr>
        <w:t xml:space="preserve"> Q56, Q57, F18.</w:t>
      </w:r>
    </w:p>
    <w:p w14:paraId="668F6585" w14:textId="357BDA9F" w:rsidR="009E5558" w:rsidRDefault="009E5558" w:rsidP="009E5558">
      <w:pPr>
        <w:jc w:val="both"/>
        <w:rPr>
          <w:b/>
          <w:bCs/>
          <w:sz w:val="20"/>
          <w:szCs w:val="20"/>
          <w:lang w:val="en-US"/>
        </w:rPr>
      </w:pPr>
    </w:p>
    <w:p w14:paraId="5DCCA1C8" w14:textId="3DEA199C" w:rsidR="00A2422B" w:rsidRPr="00A2422B" w:rsidRDefault="00A2422B" w:rsidP="009E5558">
      <w:pPr>
        <w:jc w:val="both"/>
        <w:rPr>
          <w:bCs/>
          <w:sz w:val="20"/>
          <w:szCs w:val="20"/>
          <w:lang w:val="en-US"/>
        </w:rPr>
      </w:pPr>
      <w:r w:rsidRPr="00A2422B">
        <w:rPr>
          <w:bCs/>
          <w:sz w:val="20"/>
          <w:szCs w:val="20"/>
          <w:lang w:val="en-US"/>
        </w:rPr>
        <w:t>First submission: 9</w:t>
      </w:r>
      <w:r w:rsidRPr="00A2422B">
        <w:rPr>
          <w:bCs/>
          <w:sz w:val="20"/>
          <w:szCs w:val="20"/>
          <w:vertAlign w:val="superscript"/>
          <w:lang w:val="en-US"/>
        </w:rPr>
        <w:t>th</w:t>
      </w:r>
      <w:r w:rsidRPr="00A2422B">
        <w:rPr>
          <w:bCs/>
          <w:sz w:val="20"/>
          <w:szCs w:val="20"/>
          <w:lang w:val="en-US"/>
        </w:rPr>
        <w:t xml:space="preserve"> February 2022</w:t>
      </w:r>
    </w:p>
    <w:p w14:paraId="69640A40" w14:textId="20CCDB64" w:rsidR="00A2422B" w:rsidRPr="00781F4C" w:rsidRDefault="00A2422B" w:rsidP="009E5558">
      <w:pPr>
        <w:jc w:val="both"/>
        <w:rPr>
          <w:b/>
          <w:bCs/>
          <w:sz w:val="20"/>
          <w:szCs w:val="20"/>
          <w:lang w:val="en-US"/>
        </w:rPr>
      </w:pPr>
      <w:r w:rsidRPr="00A2422B">
        <w:rPr>
          <w:bCs/>
          <w:sz w:val="20"/>
          <w:szCs w:val="20"/>
          <w:lang w:val="en-US"/>
        </w:rPr>
        <w:t>Accepted: 16</w:t>
      </w:r>
      <w:r w:rsidRPr="00A2422B">
        <w:rPr>
          <w:bCs/>
          <w:sz w:val="20"/>
          <w:szCs w:val="20"/>
          <w:vertAlign w:val="superscript"/>
          <w:lang w:val="en-US"/>
        </w:rPr>
        <w:t>th</w:t>
      </w:r>
      <w:r w:rsidRPr="00A2422B">
        <w:rPr>
          <w:bCs/>
          <w:sz w:val="20"/>
          <w:szCs w:val="20"/>
          <w:lang w:val="en-US"/>
        </w:rPr>
        <w:t xml:space="preserve"> May 2022</w:t>
      </w:r>
    </w:p>
    <w:p w14:paraId="6ACDCE3C" w14:textId="77777777" w:rsidR="006E3EC8" w:rsidRPr="00781F4C" w:rsidRDefault="006E3EC8" w:rsidP="006E3EC8">
      <w:pPr>
        <w:jc w:val="both"/>
        <w:rPr>
          <w:sz w:val="20"/>
          <w:szCs w:val="20"/>
          <w:lang w:val="en-US"/>
        </w:rPr>
      </w:pPr>
    </w:p>
    <w:p w14:paraId="6D42CF34" w14:textId="77777777" w:rsidR="00BA2055" w:rsidRPr="00781F4C" w:rsidRDefault="00BA2055" w:rsidP="006E3EC8">
      <w:pPr>
        <w:jc w:val="both"/>
        <w:rPr>
          <w:sz w:val="20"/>
          <w:szCs w:val="20"/>
          <w:lang w:val="en-US" w:eastAsia="de-DE"/>
        </w:rPr>
      </w:pPr>
    </w:p>
    <w:p w14:paraId="7E3B51A1" w14:textId="77777777" w:rsidR="006E3EC8" w:rsidRPr="00781F4C" w:rsidRDefault="006E3EC8" w:rsidP="006E3EC8">
      <w:pPr>
        <w:jc w:val="both"/>
        <w:rPr>
          <w:lang w:val="en-US"/>
        </w:rPr>
      </w:pPr>
    </w:p>
    <w:p w14:paraId="52A0BB94" w14:textId="794A5C3C" w:rsidR="00F4154F" w:rsidRPr="00781F4C" w:rsidRDefault="00C2148F" w:rsidP="00C2148F">
      <w:pPr>
        <w:pStyle w:val="ListParagraph"/>
        <w:keepNext/>
        <w:ind w:left="0"/>
        <w:rPr>
          <w:b/>
          <w:bCs/>
          <w:sz w:val="20"/>
          <w:szCs w:val="20"/>
          <w:rtl/>
          <w:lang w:val="en-US"/>
        </w:rPr>
      </w:pPr>
      <w:r w:rsidRPr="00781F4C">
        <w:rPr>
          <w:b/>
          <w:bCs/>
          <w:sz w:val="22"/>
          <w:szCs w:val="22"/>
          <w:lang w:val="en-US"/>
        </w:rPr>
        <w:t xml:space="preserve">1. </w:t>
      </w:r>
      <w:r w:rsidR="006E3EC8" w:rsidRPr="00781F4C">
        <w:rPr>
          <w:b/>
          <w:bCs/>
          <w:sz w:val="22"/>
          <w:szCs w:val="22"/>
          <w:lang w:val="en-US"/>
        </w:rPr>
        <w:t>Introduction</w:t>
      </w:r>
    </w:p>
    <w:p w14:paraId="214DAC42" w14:textId="77777777" w:rsidR="00AF2E14" w:rsidRPr="00781F4C" w:rsidRDefault="00AF2E14" w:rsidP="00441FE3">
      <w:pPr>
        <w:keepNext/>
        <w:autoSpaceDE w:val="0"/>
        <w:autoSpaceDN w:val="0"/>
        <w:adjustRightInd w:val="0"/>
        <w:jc w:val="both"/>
        <w:rPr>
          <w:rFonts w:asciiTheme="majorBidi" w:eastAsia="Calibri" w:hAnsiTheme="majorBidi" w:cstheme="majorBidi"/>
          <w:lang w:val="en-US" w:eastAsia="en-US" w:bidi="fa-IR"/>
        </w:rPr>
      </w:pPr>
    </w:p>
    <w:p w14:paraId="1A03EB3B" w14:textId="3BD59EB7" w:rsidR="00F22F63" w:rsidRPr="00781F4C" w:rsidRDefault="00E92883" w:rsidP="006D2EBD">
      <w:pPr>
        <w:ind w:firstLine="284"/>
        <w:jc w:val="both"/>
        <w:rPr>
          <w:sz w:val="20"/>
          <w:szCs w:val="20"/>
          <w:rtl/>
          <w:lang w:val="en-US"/>
        </w:rPr>
      </w:pPr>
      <w:r w:rsidRPr="00781F4C">
        <w:rPr>
          <w:sz w:val="20"/>
          <w:szCs w:val="20"/>
          <w:lang w:val="en-US"/>
        </w:rPr>
        <w:t xml:space="preserve">In recent decades, economic growth and industrialization have led to an overuse of natural resources. So that the destruction of the environment and the emission of polluting gases has exceeded the biological capacity of the planet. Therefore, policymakers and researchers paid much attention to environmental factors. Many studies have examined the effect of various factors such as economic growth, energy consumption, globalization, </w:t>
      </w:r>
      <w:r w:rsidR="00E35B61" w:rsidRPr="00781F4C">
        <w:rPr>
          <w:sz w:val="20"/>
          <w:szCs w:val="20"/>
          <w:lang w:val="en-US"/>
        </w:rPr>
        <w:t>urbanization</w:t>
      </w:r>
      <w:r w:rsidRPr="00781F4C">
        <w:rPr>
          <w:sz w:val="20"/>
          <w:szCs w:val="20"/>
          <w:lang w:val="en-US"/>
        </w:rPr>
        <w:t xml:space="preserve">, </w:t>
      </w:r>
      <w:r w:rsidR="00E35B61" w:rsidRPr="00781F4C">
        <w:rPr>
          <w:sz w:val="20"/>
          <w:szCs w:val="20"/>
          <w:lang w:val="en-US"/>
        </w:rPr>
        <w:t>etc</w:t>
      </w:r>
      <w:r w:rsidR="00CD7E3E">
        <w:rPr>
          <w:sz w:val="20"/>
          <w:szCs w:val="20"/>
          <w:lang w:val="en-US"/>
        </w:rPr>
        <w:t>.</w:t>
      </w:r>
      <w:r w:rsidRPr="00781F4C">
        <w:rPr>
          <w:sz w:val="20"/>
          <w:szCs w:val="20"/>
          <w:lang w:val="en-US"/>
        </w:rPr>
        <w:t xml:space="preserve"> on the environment (</w:t>
      </w:r>
      <w:proofErr w:type="spellStart"/>
      <w:r w:rsidR="000D3220" w:rsidRPr="00781F4C">
        <w:rPr>
          <w:sz w:val="20"/>
          <w:szCs w:val="20"/>
          <w:lang w:val="en-US"/>
        </w:rPr>
        <w:t>Gozgor</w:t>
      </w:r>
      <w:proofErr w:type="spellEnd"/>
      <w:r w:rsidR="000D3220" w:rsidRPr="00781F4C">
        <w:rPr>
          <w:sz w:val="20"/>
          <w:szCs w:val="20"/>
          <w:lang w:val="en-US"/>
        </w:rPr>
        <w:t xml:space="preserve"> and</w:t>
      </w:r>
      <w:r w:rsidRPr="00781F4C">
        <w:rPr>
          <w:sz w:val="20"/>
          <w:szCs w:val="20"/>
          <w:lang w:val="en-US"/>
        </w:rPr>
        <w:t xml:space="preserve"> </w:t>
      </w:r>
      <w:r w:rsidR="000D3220" w:rsidRPr="00781F4C">
        <w:rPr>
          <w:sz w:val="20"/>
          <w:szCs w:val="20"/>
          <w:lang w:val="en-US"/>
        </w:rPr>
        <w:t>Can</w:t>
      </w:r>
      <w:r w:rsidR="009A5719" w:rsidRPr="00781F4C">
        <w:rPr>
          <w:sz w:val="20"/>
          <w:szCs w:val="20"/>
          <w:lang w:val="en-US"/>
        </w:rPr>
        <w:t>,</w:t>
      </w:r>
      <w:r w:rsidR="000D3220" w:rsidRPr="00781F4C">
        <w:rPr>
          <w:sz w:val="20"/>
          <w:szCs w:val="20"/>
          <w:lang w:val="en-US"/>
        </w:rPr>
        <w:t xml:space="preserve"> 2017; Dogan and </w:t>
      </w:r>
      <w:proofErr w:type="spellStart"/>
      <w:r w:rsidR="000D3220" w:rsidRPr="00781F4C">
        <w:rPr>
          <w:sz w:val="20"/>
          <w:szCs w:val="20"/>
          <w:lang w:val="en-US"/>
        </w:rPr>
        <w:t>Turkekul</w:t>
      </w:r>
      <w:proofErr w:type="spellEnd"/>
      <w:r w:rsidR="009A5719" w:rsidRPr="00781F4C">
        <w:rPr>
          <w:sz w:val="20"/>
          <w:szCs w:val="20"/>
          <w:lang w:val="en-US"/>
        </w:rPr>
        <w:t>,</w:t>
      </w:r>
      <w:r w:rsidR="000D3220" w:rsidRPr="00781F4C">
        <w:rPr>
          <w:sz w:val="20"/>
          <w:szCs w:val="20"/>
          <w:lang w:val="en-US"/>
        </w:rPr>
        <w:t xml:space="preserve"> 2016; Albulescu et al.</w:t>
      </w:r>
      <w:r w:rsidR="009A5719" w:rsidRPr="00781F4C">
        <w:rPr>
          <w:sz w:val="20"/>
          <w:szCs w:val="20"/>
          <w:lang w:val="en-US"/>
        </w:rPr>
        <w:t>,</w:t>
      </w:r>
      <w:r w:rsidRPr="00781F4C">
        <w:rPr>
          <w:sz w:val="20"/>
          <w:szCs w:val="20"/>
          <w:lang w:val="en-US"/>
        </w:rPr>
        <w:t xml:space="preserve"> 2019). </w:t>
      </w:r>
    </w:p>
    <w:p w14:paraId="65E69E22" w14:textId="5718B174" w:rsidR="000F0946" w:rsidRPr="00781F4C" w:rsidRDefault="006F0692" w:rsidP="006D2EBD">
      <w:pPr>
        <w:ind w:firstLine="284"/>
        <w:jc w:val="both"/>
        <w:rPr>
          <w:sz w:val="20"/>
          <w:szCs w:val="20"/>
          <w:lang w:val="en-US"/>
        </w:rPr>
      </w:pPr>
      <w:r w:rsidRPr="00781F4C">
        <w:rPr>
          <w:sz w:val="20"/>
          <w:szCs w:val="20"/>
          <w:lang w:val="en-US"/>
        </w:rPr>
        <w:t xml:space="preserve">So far, various indicators have been introduced to study environmental degradation and its sustainability. In most studies, greenhouse gas emissions and </w:t>
      </w:r>
      <w:r w:rsidR="00210C4C" w:rsidRPr="00781F4C">
        <w:rPr>
          <w:sz w:val="20"/>
          <w:szCs w:val="20"/>
          <w:lang w:val="en-GB"/>
        </w:rPr>
        <w:t>CO</w:t>
      </w:r>
      <w:r w:rsidR="00210C4C" w:rsidRPr="00781F4C">
        <w:rPr>
          <w:sz w:val="20"/>
          <w:szCs w:val="20"/>
          <w:vertAlign w:val="subscript"/>
          <w:lang w:val="en-GB"/>
        </w:rPr>
        <w:t>2</w:t>
      </w:r>
      <w:r w:rsidRPr="00781F4C">
        <w:rPr>
          <w:sz w:val="20"/>
          <w:szCs w:val="20"/>
          <w:lang w:val="en-US"/>
        </w:rPr>
        <w:t xml:space="preserve"> emissions have been considered as criteria for assessing environmental degradation, but carbon dioxide emissions are only a part </w:t>
      </w:r>
      <w:r w:rsidR="008963C0" w:rsidRPr="00781F4C">
        <w:rPr>
          <w:sz w:val="20"/>
          <w:szCs w:val="20"/>
          <w:lang w:val="en-US"/>
        </w:rPr>
        <w:t>of environmental damage and can</w:t>
      </w:r>
      <w:r w:rsidRPr="00781F4C">
        <w:rPr>
          <w:sz w:val="20"/>
          <w:szCs w:val="20"/>
          <w:lang w:val="en-US"/>
        </w:rPr>
        <w:t>not be considered as a comprehensive measure of degradation environment (</w:t>
      </w:r>
      <w:r w:rsidR="00885B3B" w:rsidRPr="00781F4C">
        <w:rPr>
          <w:sz w:val="20"/>
          <w:szCs w:val="20"/>
          <w:lang w:val="en-US"/>
        </w:rPr>
        <w:t>Shahbaz et al.</w:t>
      </w:r>
      <w:r w:rsidR="009A5719" w:rsidRPr="00781F4C">
        <w:rPr>
          <w:sz w:val="20"/>
          <w:szCs w:val="20"/>
          <w:lang w:val="en-US"/>
        </w:rPr>
        <w:t>,</w:t>
      </w:r>
      <w:r w:rsidRPr="00781F4C">
        <w:rPr>
          <w:sz w:val="20"/>
          <w:szCs w:val="20"/>
          <w:lang w:val="en-US"/>
        </w:rPr>
        <w:t xml:space="preserve"> 2016).</w:t>
      </w:r>
    </w:p>
    <w:p w14:paraId="13C69EE8" w14:textId="07768234" w:rsidR="006F0692" w:rsidRPr="00781F4C" w:rsidRDefault="000F0946" w:rsidP="006D2EBD">
      <w:pPr>
        <w:ind w:firstLine="284"/>
        <w:jc w:val="both"/>
        <w:rPr>
          <w:sz w:val="20"/>
          <w:szCs w:val="20"/>
          <w:lang w:val="en-US"/>
        </w:rPr>
      </w:pPr>
      <w:r w:rsidRPr="00781F4C">
        <w:rPr>
          <w:sz w:val="20"/>
          <w:szCs w:val="20"/>
          <w:lang w:val="en-US"/>
        </w:rPr>
        <w:t>Today, the Ecological Footprint Index has been introduced to measure the set of pressures on the environment, which has been considered as the most successful criteria for evaluating sustainable development by researchers and politicians (</w:t>
      </w:r>
      <w:r w:rsidR="000D3220" w:rsidRPr="00781F4C">
        <w:rPr>
          <w:sz w:val="20"/>
          <w:szCs w:val="20"/>
          <w:lang w:val="en-US"/>
        </w:rPr>
        <w:t>Uddin et al.</w:t>
      </w:r>
      <w:r w:rsidR="009A5719" w:rsidRPr="00781F4C">
        <w:rPr>
          <w:sz w:val="20"/>
          <w:szCs w:val="20"/>
          <w:lang w:val="en-US"/>
        </w:rPr>
        <w:t>,</w:t>
      </w:r>
      <w:r w:rsidR="000D3220" w:rsidRPr="00781F4C">
        <w:rPr>
          <w:sz w:val="20"/>
          <w:szCs w:val="20"/>
          <w:lang w:val="en-US"/>
        </w:rPr>
        <w:t xml:space="preserve"> 2017; Neagu</w:t>
      </w:r>
      <w:r w:rsidR="009A5719" w:rsidRPr="00781F4C">
        <w:rPr>
          <w:sz w:val="20"/>
          <w:szCs w:val="20"/>
          <w:lang w:val="en-US"/>
        </w:rPr>
        <w:t>,</w:t>
      </w:r>
      <w:r w:rsidRPr="00781F4C">
        <w:rPr>
          <w:sz w:val="20"/>
          <w:szCs w:val="20"/>
          <w:lang w:val="en-US"/>
        </w:rPr>
        <w:t xml:space="preserve"> 2020).</w:t>
      </w:r>
      <w:r w:rsidR="00E00A6B" w:rsidRPr="00781F4C">
        <w:rPr>
          <w:sz w:val="20"/>
          <w:szCs w:val="20"/>
          <w:lang w:val="en-US"/>
        </w:rPr>
        <w:t xml:space="preserve"> The e</w:t>
      </w:r>
      <w:r w:rsidR="00E3339C" w:rsidRPr="00781F4C">
        <w:rPr>
          <w:sz w:val="20"/>
          <w:szCs w:val="20"/>
          <w:lang w:val="en-US"/>
        </w:rPr>
        <w:t>cological footprint is a measure that shows the amount of human consumption of biological resources and waste</w:t>
      </w:r>
      <w:r w:rsidR="00CB2750" w:rsidRPr="00781F4C">
        <w:rPr>
          <w:sz w:val="20"/>
          <w:szCs w:val="20"/>
          <w:lang w:val="en-US"/>
        </w:rPr>
        <w:t>s</w:t>
      </w:r>
      <w:r w:rsidR="00E3339C" w:rsidRPr="00781F4C">
        <w:rPr>
          <w:sz w:val="20"/>
          <w:szCs w:val="20"/>
          <w:lang w:val="en-US"/>
        </w:rPr>
        <w:t xml:space="preserve"> production in different areas. In other words, ecological footprints are the effects that societies have on nature according to their lifestyle and show which societies have put more pressure on the environment </w:t>
      </w:r>
      <w:r w:rsidR="00EA3381" w:rsidRPr="00781F4C">
        <w:rPr>
          <w:sz w:val="20"/>
          <w:szCs w:val="20"/>
          <w:lang w:val="en-US"/>
        </w:rPr>
        <w:t xml:space="preserve">(Wilson and </w:t>
      </w:r>
      <w:proofErr w:type="spellStart"/>
      <w:r w:rsidR="00EA3381" w:rsidRPr="00781F4C">
        <w:rPr>
          <w:sz w:val="20"/>
          <w:szCs w:val="20"/>
          <w:lang w:val="en-US"/>
        </w:rPr>
        <w:t>Anielski</w:t>
      </w:r>
      <w:proofErr w:type="spellEnd"/>
      <w:r w:rsidR="009A5719" w:rsidRPr="00781F4C">
        <w:rPr>
          <w:sz w:val="20"/>
          <w:szCs w:val="20"/>
          <w:lang w:val="en-US"/>
        </w:rPr>
        <w:t>,</w:t>
      </w:r>
      <w:r w:rsidR="00EA3381" w:rsidRPr="00781F4C">
        <w:rPr>
          <w:sz w:val="20"/>
          <w:szCs w:val="20"/>
          <w:lang w:val="en-US"/>
        </w:rPr>
        <w:t xml:space="preserve"> 2005; Lin et al.</w:t>
      </w:r>
      <w:r w:rsidR="009A5719" w:rsidRPr="00781F4C">
        <w:rPr>
          <w:sz w:val="20"/>
          <w:szCs w:val="20"/>
          <w:lang w:val="en-US"/>
        </w:rPr>
        <w:t>,</w:t>
      </w:r>
      <w:r w:rsidR="00E3339C" w:rsidRPr="00781F4C">
        <w:rPr>
          <w:sz w:val="20"/>
          <w:szCs w:val="20"/>
          <w:lang w:val="en-US"/>
        </w:rPr>
        <w:t xml:space="preserve"> 2020). </w:t>
      </w:r>
    </w:p>
    <w:p w14:paraId="14194B2D" w14:textId="37085C52" w:rsidR="007A3E79" w:rsidRPr="00781F4C" w:rsidRDefault="00043FC6" w:rsidP="00B95156">
      <w:pPr>
        <w:ind w:firstLine="284"/>
        <w:jc w:val="both"/>
        <w:rPr>
          <w:sz w:val="20"/>
          <w:szCs w:val="20"/>
          <w:lang w:val="en-US"/>
        </w:rPr>
      </w:pPr>
      <w:r w:rsidRPr="00781F4C">
        <w:rPr>
          <w:sz w:val="20"/>
          <w:szCs w:val="20"/>
          <w:lang w:val="en-US"/>
        </w:rPr>
        <w:t xml:space="preserve">The expansion of global trade, on the one hand, leads to the transfer of </w:t>
      </w:r>
      <w:r w:rsidR="00F3321C" w:rsidRPr="00781F4C">
        <w:rPr>
          <w:sz w:val="20"/>
          <w:szCs w:val="20"/>
          <w:lang w:val="en-US"/>
        </w:rPr>
        <w:t>new environmentally friendly technologies</w:t>
      </w:r>
      <w:r w:rsidRPr="00781F4C">
        <w:rPr>
          <w:sz w:val="20"/>
          <w:szCs w:val="20"/>
          <w:lang w:val="en-US"/>
        </w:rPr>
        <w:t>, and on the other hand, accelerates economic growth, which requires more consumption of resources. Therefore, the expansion of trade regardless of the quality of export products causes damage to the environment (</w:t>
      </w:r>
      <w:r w:rsidR="00885B3B" w:rsidRPr="00781F4C">
        <w:rPr>
          <w:sz w:val="20"/>
          <w:szCs w:val="20"/>
          <w:lang w:val="en-US"/>
        </w:rPr>
        <w:t>Fang et al.</w:t>
      </w:r>
      <w:r w:rsidR="009A5719" w:rsidRPr="00781F4C">
        <w:rPr>
          <w:sz w:val="20"/>
          <w:szCs w:val="20"/>
          <w:lang w:val="en-US"/>
        </w:rPr>
        <w:t>,</w:t>
      </w:r>
      <w:r w:rsidRPr="00781F4C">
        <w:rPr>
          <w:sz w:val="20"/>
          <w:szCs w:val="20"/>
          <w:lang w:val="en-US"/>
        </w:rPr>
        <w:t xml:space="preserve"> 2019</w:t>
      </w:r>
      <w:proofErr w:type="gramStart"/>
      <w:r w:rsidRPr="00781F4C">
        <w:rPr>
          <w:sz w:val="20"/>
          <w:szCs w:val="20"/>
          <w:lang w:val="en-US"/>
        </w:rPr>
        <w:t>).</w:t>
      </w:r>
      <w:r w:rsidR="00E42929" w:rsidRPr="00781F4C">
        <w:rPr>
          <w:sz w:val="20"/>
          <w:szCs w:val="20"/>
          <w:lang w:val="en-US"/>
        </w:rPr>
        <w:t>The</w:t>
      </w:r>
      <w:proofErr w:type="gramEnd"/>
      <w:r w:rsidR="00E42929" w:rsidRPr="00781F4C">
        <w:rPr>
          <w:sz w:val="20"/>
          <w:szCs w:val="20"/>
          <w:lang w:val="en-US"/>
        </w:rPr>
        <w:t xml:space="preserve"> quality of exports is </w:t>
      </w:r>
      <w:r w:rsidR="0008766A" w:rsidRPr="00781F4C">
        <w:rPr>
          <w:sz w:val="20"/>
          <w:szCs w:val="20"/>
          <w:lang w:val="en-US"/>
        </w:rPr>
        <w:t xml:space="preserve">an indicator that is estimated based on the standard unit values of products (Hallak., 2006). This index is calculated based on the quality score of 90% of each country's export </w:t>
      </w:r>
      <w:r w:rsidR="0008766A" w:rsidRPr="00781F4C">
        <w:rPr>
          <w:sz w:val="20"/>
          <w:szCs w:val="20"/>
          <w:lang w:val="en-US"/>
        </w:rPr>
        <w:lastRenderedPageBreak/>
        <w:t>products. These products are selected based on 1. Standard International Trade Classification up to 4- digit level 2. Broad Economic Categori</w:t>
      </w:r>
      <w:r w:rsidR="003F3517">
        <w:rPr>
          <w:sz w:val="20"/>
          <w:szCs w:val="20"/>
          <w:lang w:val="en-US"/>
        </w:rPr>
        <w:t>e</w:t>
      </w:r>
      <w:r w:rsidR="0008766A" w:rsidRPr="00781F4C">
        <w:rPr>
          <w:sz w:val="20"/>
          <w:szCs w:val="20"/>
          <w:lang w:val="en-US"/>
        </w:rPr>
        <w:t>s up to 3-digit level 3. Aggregate Sectors: Agricultures, Commodities and Manufactures (IMF, 202</w:t>
      </w:r>
      <w:r w:rsidR="00B95156" w:rsidRPr="00781F4C">
        <w:rPr>
          <w:sz w:val="20"/>
          <w:szCs w:val="20"/>
          <w:lang w:val="en-US"/>
        </w:rPr>
        <w:t>0</w:t>
      </w:r>
      <w:r w:rsidR="0008766A" w:rsidRPr="00781F4C">
        <w:rPr>
          <w:sz w:val="20"/>
          <w:szCs w:val="20"/>
          <w:lang w:val="en-US"/>
        </w:rPr>
        <w:t xml:space="preserve">). The higher values of export quality </w:t>
      </w:r>
      <w:proofErr w:type="gramStart"/>
      <w:r w:rsidR="0008766A" w:rsidRPr="00781F4C">
        <w:rPr>
          <w:sz w:val="20"/>
          <w:szCs w:val="20"/>
          <w:lang w:val="en-US"/>
        </w:rPr>
        <w:t>means</w:t>
      </w:r>
      <w:proofErr w:type="gramEnd"/>
      <w:r w:rsidR="0008766A" w:rsidRPr="00781F4C">
        <w:rPr>
          <w:sz w:val="20"/>
          <w:szCs w:val="20"/>
          <w:lang w:val="en-US"/>
        </w:rPr>
        <w:t xml:space="preserve"> a higher level of quality of export products (Henn et al, 2013). The quality of export products depends on the research and development activities of countries and their production efficiency. In addition, improving institutional quality and growing human capital leads to improved export quality (Henn et al., 2013: Shahbaz et al., 2019; Fang et al., 2019).</w:t>
      </w:r>
      <w:r w:rsidR="003F3517">
        <w:rPr>
          <w:sz w:val="20"/>
          <w:szCs w:val="20"/>
          <w:lang w:val="en-US"/>
        </w:rPr>
        <w:t xml:space="preserve"> </w:t>
      </w:r>
      <w:r w:rsidR="00E42929" w:rsidRPr="00781F4C">
        <w:rPr>
          <w:sz w:val="20"/>
          <w:szCs w:val="20"/>
          <w:lang w:val="en-US"/>
        </w:rPr>
        <w:t xml:space="preserve">To produce diverse and </w:t>
      </w:r>
      <w:proofErr w:type="gramStart"/>
      <w:r w:rsidR="00E42929" w:rsidRPr="00781F4C">
        <w:rPr>
          <w:sz w:val="20"/>
          <w:szCs w:val="20"/>
          <w:lang w:val="en-US"/>
        </w:rPr>
        <w:t>high quality</w:t>
      </w:r>
      <w:proofErr w:type="gramEnd"/>
      <w:r w:rsidR="00E42929" w:rsidRPr="00781F4C">
        <w:rPr>
          <w:sz w:val="20"/>
          <w:szCs w:val="20"/>
          <w:lang w:val="en-US"/>
        </w:rPr>
        <w:t xml:space="preserve"> export goods, advanced technologies are needed, and the development of technologies will improve the environment.</w:t>
      </w:r>
      <w:r w:rsidR="00AC46CF" w:rsidRPr="00781F4C">
        <w:rPr>
          <w:sz w:val="20"/>
          <w:szCs w:val="20"/>
          <w:lang w:val="en-US"/>
        </w:rPr>
        <w:t xml:space="preserve"> Some factors, such as the growth of the </w:t>
      </w:r>
      <w:r w:rsidR="00D551E3" w:rsidRPr="00781F4C">
        <w:rPr>
          <w:sz w:val="20"/>
          <w:szCs w:val="20"/>
          <w:lang w:val="en-US"/>
        </w:rPr>
        <w:t>share of high-skilled workers over total labor force</w:t>
      </w:r>
      <w:r w:rsidR="00AC46CF" w:rsidRPr="00781F4C">
        <w:rPr>
          <w:sz w:val="20"/>
          <w:szCs w:val="20"/>
          <w:lang w:val="en-US"/>
        </w:rPr>
        <w:t xml:space="preserve"> and the increase</w:t>
      </w:r>
      <w:r w:rsidR="00D551E3" w:rsidRPr="00781F4C">
        <w:rPr>
          <w:sz w:val="20"/>
          <w:szCs w:val="20"/>
          <w:lang w:val="en-US"/>
        </w:rPr>
        <w:t xml:space="preserve"> R&amp;D investments </w:t>
      </w:r>
      <w:r w:rsidR="00AC46CF" w:rsidRPr="00781F4C">
        <w:rPr>
          <w:sz w:val="20"/>
          <w:szCs w:val="20"/>
          <w:lang w:val="en-US"/>
        </w:rPr>
        <w:t>of countries, help to increase the quality of their products and exports. In developing countries, the educated workforce has grown over the period under study, for example (Bahrain's highly educated workforce was 72% in 2006, up from 79% in 2014), a high figure for Iran. (From 40% in 2000 to about 60% in 2014) (World Bank). R&amp;D investment costs also increased in most of the countries studied, for example (R&amp;D investment costs in Indonesia increased from 0.060 in 1996 to 0.1 in 2014). For Iran, this figure has risen from about 0.200 in 1996 to 0.300 in 2014 and about 0.830 in 2018. Israel has doubled to 2.59 percent in 1996. Reached 4.173 in 2014.) (World Bank)</w:t>
      </w:r>
      <w:r w:rsidRPr="00781F4C">
        <w:rPr>
          <w:sz w:val="20"/>
          <w:szCs w:val="20"/>
          <w:lang w:val="en-US"/>
        </w:rPr>
        <w:t xml:space="preserve"> (</w:t>
      </w:r>
      <w:proofErr w:type="spellStart"/>
      <w:r w:rsidR="00EA3381" w:rsidRPr="00781F4C">
        <w:rPr>
          <w:sz w:val="20"/>
          <w:szCs w:val="20"/>
          <w:lang w:val="en-US"/>
        </w:rPr>
        <w:t>Gozgor</w:t>
      </w:r>
      <w:proofErr w:type="spellEnd"/>
      <w:r w:rsidR="00EA3381" w:rsidRPr="00781F4C">
        <w:rPr>
          <w:sz w:val="20"/>
          <w:szCs w:val="20"/>
          <w:lang w:val="en-US"/>
        </w:rPr>
        <w:t xml:space="preserve"> and Can</w:t>
      </w:r>
      <w:r w:rsidR="009A5719" w:rsidRPr="00781F4C">
        <w:rPr>
          <w:sz w:val="20"/>
          <w:szCs w:val="20"/>
          <w:lang w:val="en-US"/>
        </w:rPr>
        <w:t>,</w:t>
      </w:r>
      <w:r w:rsidR="001A2129" w:rsidRPr="00781F4C">
        <w:rPr>
          <w:sz w:val="20"/>
          <w:szCs w:val="20"/>
          <w:lang w:val="en-US"/>
        </w:rPr>
        <w:t xml:space="preserve"> 2017</w:t>
      </w:r>
      <w:r w:rsidR="00EA3381" w:rsidRPr="00781F4C">
        <w:rPr>
          <w:sz w:val="20"/>
          <w:szCs w:val="20"/>
          <w:lang w:val="en-US"/>
        </w:rPr>
        <w:t>; Murshed and Dao</w:t>
      </w:r>
      <w:r w:rsidR="009A5719" w:rsidRPr="00781F4C">
        <w:rPr>
          <w:sz w:val="20"/>
          <w:szCs w:val="20"/>
          <w:lang w:val="en-US"/>
        </w:rPr>
        <w:t>,</w:t>
      </w:r>
      <w:r w:rsidRPr="00781F4C">
        <w:rPr>
          <w:sz w:val="20"/>
          <w:szCs w:val="20"/>
          <w:lang w:val="en-US"/>
        </w:rPr>
        <w:t xml:space="preserve"> 2020). </w:t>
      </w:r>
    </w:p>
    <w:p w14:paraId="6C97A491" w14:textId="2965C7C1" w:rsidR="00825DFF" w:rsidRPr="00781F4C" w:rsidRDefault="00FF6726" w:rsidP="00E42929">
      <w:pPr>
        <w:ind w:firstLine="284"/>
        <w:jc w:val="both"/>
        <w:rPr>
          <w:sz w:val="20"/>
          <w:szCs w:val="20"/>
          <w:lang w:val="en-US"/>
        </w:rPr>
      </w:pPr>
      <w:r w:rsidRPr="00781F4C">
        <w:rPr>
          <w:sz w:val="20"/>
          <w:szCs w:val="20"/>
          <w:lang w:val="en-US"/>
        </w:rPr>
        <w:t>Despite the significant impact of the quality of export products on the environment, few studies have addressed this issue (</w:t>
      </w:r>
      <w:r w:rsidR="00EA3381" w:rsidRPr="00781F4C">
        <w:rPr>
          <w:sz w:val="20"/>
          <w:szCs w:val="20"/>
          <w:lang w:val="en-US"/>
        </w:rPr>
        <w:t>Murshed and Dao</w:t>
      </w:r>
      <w:r w:rsidR="009A5719" w:rsidRPr="00781F4C">
        <w:rPr>
          <w:sz w:val="20"/>
          <w:szCs w:val="20"/>
          <w:lang w:val="en-US"/>
        </w:rPr>
        <w:t>,</w:t>
      </w:r>
      <w:r w:rsidR="00484761" w:rsidRPr="00781F4C">
        <w:rPr>
          <w:sz w:val="20"/>
          <w:szCs w:val="20"/>
          <w:lang w:val="en-US"/>
        </w:rPr>
        <w:t xml:space="preserve"> 2020</w:t>
      </w:r>
      <w:r w:rsidRPr="00781F4C">
        <w:rPr>
          <w:sz w:val="20"/>
          <w:szCs w:val="20"/>
          <w:lang w:val="en-US"/>
        </w:rPr>
        <w:t>)</w:t>
      </w:r>
      <w:r w:rsidR="00F3321C" w:rsidRPr="00781F4C">
        <w:rPr>
          <w:sz w:val="20"/>
          <w:szCs w:val="20"/>
          <w:lang w:val="en-US"/>
        </w:rPr>
        <w:t xml:space="preserve">. </w:t>
      </w:r>
      <w:r w:rsidRPr="00781F4C">
        <w:rPr>
          <w:sz w:val="20"/>
          <w:szCs w:val="20"/>
          <w:lang w:val="en-US"/>
        </w:rPr>
        <w:t>Therefore, this study analyzes the effect of export quality of developing countries on ecological footprint.</w:t>
      </w:r>
    </w:p>
    <w:p w14:paraId="4FA27900" w14:textId="08AAE71B" w:rsidR="004F3974" w:rsidRPr="00781F4C" w:rsidRDefault="00C22862" w:rsidP="00E42929">
      <w:pPr>
        <w:ind w:firstLine="284"/>
        <w:jc w:val="both"/>
        <w:rPr>
          <w:sz w:val="20"/>
          <w:szCs w:val="20"/>
          <w:lang w:val="en-US"/>
        </w:rPr>
      </w:pPr>
      <w:r w:rsidRPr="00781F4C">
        <w:rPr>
          <w:sz w:val="20"/>
          <w:szCs w:val="20"/>
          <w:lang w:val="en-US"/>
        </w:rPr>
        <w:t xml:space="preserve">The effect of </w:t>
      </w:r>
      <w:r w:rsidR="00895123" w:rsidRPr="00781F4C">
        <w:rPr>
          <w:sz w:val="20"/>
          <w:szCs w:val="20"/>
          <w:lang w:val="en-US"/>
        </w:rPr>
        <w:t xml:space="preserve">the </w:t>
      </w:r>
      <w:r w:rsidRPr="00781F4C">
        <w:rPr>
          <w:sz w:val="20"/>
          <w:szCs w:val="20"/>
          <w:lang w:val="en-US"/>
        </w:rPr>
        <w:t xml:space="preserve">fertility rate on the environment depends on various factors such as laws and regulations, ownership, consumption patterns, and so on. </w:t>
      </w:r>
      <w:r w:rsidR="00825DFF" w:rsidRPr="00781F4C">
        <w:rPr>
          <w:sz w:val="20"/>
          <w:szCs w:val="20"/>
          <w:lang w:val="en-US"/>
        </w:rPr>
        <w:t>Today, despite the growth of the world's population, some issues, such as increasing education and women's employment, have reduced the fertility rate in societies. Until the 1980s, low fertility rates were seen only in developed countries (</w:t>
      </w:r>
      <w:r w:rsidR="00E42929" w:rsidRPr="00781F4C">
        <w:rPr>
          <w:sz w:val="20"/>
          <w:szCs w:val="20"/>
          <w:lang w:val="en-US"/>
        </w:rPr>
        <w:t>World Trade Organization (WTO), 2020</w:t>
      </w:r>
      <w:r w:rsidR="00825DFF" w:rsidRPr="00781F4C">
        <w:rPr>
          <w:sz w:val="20"/>
          <w:szCs w:val="20"/>
          <w:lang w:val="en-US"/>
        </w:rPr>
        <w:t xml:space="preserve">). But recently, fertility decline has spread to other parts of the world and developing countries (Sobotka </w:t>
      </w:r>
      <w:r w:rsidR="00F33098" w:rsidRPr="00781F4C">
        <w:rPr>
          <w:sz w:val="20"/>
          <w:szCs w:val="20"/>
          <w:lang w:val="en-US"/>
        </w:rPr>
        <w:t xml:space="preserve">and Furnkranz- </w:t>
      </w:r>
      <w:proofErr w:type="spellStart"/>
      <w:r w:rsidR="00F33098" w:rsidRPr="00781F4C">
        <w:rPr>
          <w:sz w:val="20"/>
          <w:szCs w:val="20"/>
          <w:lang w:val="en-US"/>
        </w:rPr>
        <w:t>Prskawetz</w:t>
      </w:r>
      <w:proofErr w:type="spellEnd"/>
      <w:r w:rsidR="009A5719" w:rsidRPr="00781F4C">
        <w:rPr>
          <w:sz w:val="20"/>
          <w:szCs w:val="20"/>
          <w:lang w:val="en-US"/>
        </w:rPr>
        <w:t>,</w:t>
      </w:r>
      <w:r w:rsidR="00825DFF" w:rsidRPr="00781F4C">
        <w:rPr>
          <w:sz w:val="20"/>
          <w:szCs w:val="20"/>
          <w:lang w:val="en-US"/>
        </w:rPr>
        <w:t xml:space="preserve"> 2020). The fertility rates of the countries selected in this study have also been decreasing during the study period so that the average fertility rate of all countries studied in 1990 is about 4.295%, which in 2014 reached about 2.434</w:t>
      </w:r>
      <w:r w:rsidR="00E42929" w:rsidRPr="00781F4C">
        <w:rPr>
          <w:sz w:val="20"/>
          <w:szCs w:val="20"/>
          <w:lang w:val="en-US"/>
        </w:rPr>
        <w:t>%</w:t>
      </w:r>
      <w:r w:rsidR="00825DFF" w:rsidRPr="00781F4C">
        <w:rPr>
          <w:sz w:val="20"/>
          <w:szCs w:val="20"/>
          <w:lang w:val="en-US"/>
        </w:rPr>
        <w:t>, which is close to Decreased to 2%</w:t>
      </w:r>
      <w:r w:rsidR="00E42929" w:rsidRPr="00781F4C">
        <w:rPr>
          <w:sz w:val="20"/>
          <w:szCs w:val="20"/>
          <w:lang w:val="en-US"/>
        </w:rPr>
        <w:t xml:space="preserve"> (World Bank Data (WBD), 2020)</w:t>
      </w:r>
      <w:r w:rsidR="00825DFF" w:rsidRPr="00781F4C">
        <w:rPr>
          <w:sz w:val="20"/>
          <w:szCs w:val="20"/>
          <w:lang w:val="en-US"/>
        </w:rPr>
        <w:t>. Some studies suggest that fertility rates lead to</w:t>
      </w:r>
      <w:r w:rsidR="00BE1EBA" w:rsidRPr="00781F4C">
        <w:rPr>
          <w:sz w:val="20"/>
          <w:szCs w:val="20"/>
          <w:lang w:val="en-US"/>
        </w:rPr>
        <w:t xml:space="preserve"> the</w:t>
      </w:r>
      <w:r w:rsidR="00825DFF" w:rsidRPr="00781F4C">
        <w:rPr>
          <w:sz w:val="20"/>
          <w:szCs w:val="20"/>
          <w:lang w:val="en-US"/>
        </w:rPr>
        <w:t xml:space="preserve"> overuse of natural resources and further environmental degradation (</w:t>
      </w:r>
      <w:r w:rsidR="00EA3381" w:rsidRPr="00781F4C">
        <w:rPr>
          <w:sz w:val="20"/>
          <w:szCs w:val="20"/>
          <w:lang w:val="en-US"/>
        </w:rPr>
        <w:t>Liddle and Lung</w:t>
      </w:r>
      <w:r w:rsidR="00825DFF" w:rsidRPr="00781F4C">
        <w:rPr>
          <w:sz w:val="20"/>
          <w:szCs w:val="20"/>
          <w:lang w:val="en-US"/>
        </w:rPr>
        <w:t xml:space="preserve"> 2010). But as fertility decreases, the young and active population decreases</w:t>
      </w:r>
      <w:r w:rsidR="00813DA9" w:rsidRPr="00781F4C">
        <w:rPr>
          <w:sz w:val="20"/>
          <w:szCs w:val="20"/>
          <w:lang w:val="en-US"/>
        </w:rPr>
        <w:t>,</w:t>
      </w:r>
      <w:r w:rsidR="00825DFF" w:rsidRPr="00781F4C">
        <w:rPr>
          <w:sz w:val="20"/>
          <w:szCs w:val="20"/>
          <w:lang w:val="en-US"/>
        </w:rPr>
        <w:t xml:space="preserve"> and the elderly population increases, leading to a reduction in the labor force (</w:t>
      </w:r>
      <w:r w:rsidR="005978EF" w:rsidRPr="00781F4C">
        <w:rPr>
          <w:sz w:val="20"/>
          <w:szCs w:val="20"/>
          <w:lang w:val="en-US"/>
        </w:rPr>
        <w:t>Alola et al.</w:t>
      </w:r>
      <w:r w:rsidR="009A5719" w:rsidRPr="00781F4C">
        <w:rPr>
          <w:sz w:val="20"/>
          <w:szCs w:val="20"/>
          <w:lang w:val="en-US"/>
        </w:rPr>
        <w:t>,</w:t>
      </w:r>
      <w:r w:rsidR="005978EF" w:rsidRPr="00781F4C">
        <w:rPr>
          <w:sz w:val="20"/>
          <w:szCs w:val="20"/>
          <w:lang w:val="en-US"/>
        </w:rPr>
        <w:t xml:space="preserve"> </w:t>
      </w:r>
      <w:r w:rsidR="00825DFF" w:rsidRPr="00781F4C">
        <w:rPr>
          <w:sz w:val="20"/>
          <w:szCs w:val="20"/>
          <w:lang w:val="en-US"/>
        </w:rPr>
        <w:t>2019). Some studies have also examined the two-way effect of fertility rate and the environment, stating that there is a complex and dynamic relationship between the environment and fertility rate (</w:t>
      </w:r>
      <w:r w:rsidR="00EA3381" w:rsidRPr="00781F4C">
        <w:rPr>
          <w:sz w:val="20"/>
          <w:szCs w:val="20"/>
          <w:lang w:val="en-US"/>
        </w:rPr>
        <w:t>Jacobson</w:t>
      </w:r>
      <w:r w:rsidR="009A5719" w:rsidRPr="00781F4C">
        <w:rPr>
          <w:sz w:val="20"/>
          <w:szCs w:val="20"/>
          <w:lang w:val="en-US"/>
        </w:rPr>
        <w:t>,</w:t>
      </w:r>
      <w:r w:rsidR="00330C48" w:rsidRPr="00781F4C">
        <w:rPr>
          <w:sz w:val="20"/>
          <w:szCs w:val="20"/>
          <w:lang w:val="en-US"/>
        </w:rPr>
        <w:t xml:space="preserve"> 1988</w:t>
      </w:r>
      <w:r w:rsidR="00825DFF" w:rsidRPr="00781F4C">
        <w:rPr>
          <w:sz w:val="20"/>
          <w:szCs w:val="20"/>
          <w:lang w:val="en-US"/>
        </w:rPr>
        <w:t>).</w:t>
      </w:r>
      <w:r w:rsidR="00813DA9" w:rsidRPr="00781F4C">
        <w:rPr>
          <w:sz w:val="20"/>
          <w:szCs w:val="20"/>
          <w:lang w:val="en-US"/>
        </w:rPr>
        <w:t xml:space="preserve"> </w:t>
      </w:r>
      <w:r w:rsidR="00825DFF" w:rsidRPr="00781F4C">
        <w:rPr>
          <w:sz w:val="20"/>
          <w:szCs w:val="20"/>
          <w:lang w:val="en-US"/>
        </w:rPr>
        <w:t>Given that the relationship between fertility rate and the environment is complex and ambiguous, this study examines the effect of fertility rate on ecological footprint.</w:t>
      </w:r>
    </w:p>
    <w:p w14:paraId="5567992C" w14:textId="428EC9AE" w:rsidR="00A67B52" w:rsidRPr="00781F4C" w:rsidRDefault="004F3974" w:rsidP="00901068">
      <w:pPr>
        <w:ind w:firstLine="284"/>
        <w:jc w:val="both"/>
        <w:rPr>
          <w:sz w:val="20"/>
          <w:szCs w:val="20"/>
          <w:lang w:val="en-US"/>
        </w:rPr>
      </w:pPr>
      <w:r w:rsidRPr="00781F4C">
        <w:rPr>
          <w:sz w:val="20"/>
          <w:szCs w:val="20"/>
          <w:lang w:val="en-US"/>
        </w:rPr>
        <w:t>As mentioned above, studies with indicators such as export quality and fertility rate have not been widely considered. Therefore, the purpose of this study is to enrich the literature related to these topics. This study is innovative in several ways. First, the use of</w:t>
      </w:r>
      <w:r w:rsidR="00BF4F00" w:rsidRPr="00781F4C">
        <w:rPr>
          <w:sz w:val="20"/>
          <w:szCs w:val="20"/>
          <w:lang w:val="en-US"/>
        </w:rPr>
        <w:t xml:space="preserve"> the</w:t>
      </w:r>
      <w:r w:rsidRPr="00781F4C">
        <w:rPr>
          <w:sz w:val="20"/>
          <w:szCs w:val="20"/>
          <w:lang w:val="en-US"/>
        </w:rPr>
        <w:t xml:space="preserve"> ecological footprint index as a measure of environmental degradation provides more realistic and comprehensive results. Second, in this study, the countries under study are classified into six groups based on characteristics related to ecological footprint, which helps policymakers to guide development policies. Thirdly, to our knowledge, this study analyzes for the first time the effect of export quality and fertility rate on</w:t>
      </w:r>
      <w:r w:rsidR="00BF4F00" w:rsidRPr="00781F4C">
        <w:rPr>
          <w:sz w:val="20"/>
          <w:szCs w:val="20"/>
          <w:lang w:val="en-US"/>
        </w:rPr>
        <w:t xml:space="preserve"> the</w:t>
      </w:r>
      <w:r w:rsidRPr="00781F4C">
        <w:rPr>
          <w:sz w:val="20"/>
          <w:szCs w:val="20"/>
          <w:lang w:val="en-US"/>
        </w:rPr>
        <w:t xml:space="preserve"> ecological footprint in developing Asian countries. Therefore, in this study, we seek to answer the following questions:</w:t>
      </w:r>
    </w:p>
    <w:p w14:paraId="420EFD64" w14:textId="08CC1F7D" w:rsidR="004F3974" w:rsidRPr="00781F4C" w:rsidRDefault="004F3974" w:rsidP="00F32E90">
      <w:pPr>
        <w:jc w:val="both"/>
        <w:rPr>
          <w:sz w:val="20"/>
          <w:szCs w:val="20"/>
          <w:lang w:val="en-US"/>
        </w:rPr>
      </w:pPr>
      <w:r w:rsidRPr="00781F4C">
        <w:rPr>
          <w:sz w:val="20"/>
          <w:szCs w:val="20"/>
          <w:lang w:val="en-US"/>
        </w:rPr>
        <w:t>1. Does increasing the quality of export products reduce</w:t>
      </w:r>
      <w:r w:rsidR="008868E7" w:rsidRPr="00781F4C">
        <w:rPr>
          <w:sz w:val="20"/>
          <w:szCs w:val="20"/>
          <w:lang w:val="en-US"/>
        </w:rPr>
        <w:t xml:space="preserve"> the</w:t>
      </w:r>
      <w:r w:rsidRPr="00781F4C">
        <w:rPr>
          <w:sz w:val="20"/>
          <w:szCs w:val="20"/>
          <w:lang w:val="en-US"/>
        </w:rPr>
        <w:t xml:space="preserve"> ecological footprint and environmental degradation?</w:t>
      </w:r>
    </w:p>
    <w:p w14:paraId="541BABAF" w14:textId="78014D30" w:rsidR="004F3974" w:rsidRPr="00781F4C" w:rsidRDefault="004F3974" w:rsidP="00F32E90">
      <w:pPr>
        <w:jc w:val="both"/>
        <w:rPr>
          <w:sz w:val="20"/>
          <w:szCs w:val="20"/>
          <w:lang w:val="en-US"/>
        </w:rPr>
      </w:pPr>
      <w:r w:rsidRPr="00781F4C">
        <w:rPr>
          <w:sz w:val="20"/>
          <w:szCs w:val="20"/>
          <w:lang w:val="en-US"/>
        </w:rPr>
        <w:t>2. Does increasing</w:t>
      </w:r>
      <w:r w:rsidR="008868E7" w:rsidRPr="00781F4C">
        <w:rPr>
          <w:sz w:val="20"/>
          <w:szCs w:val="20"/>
          <w:lang w:val="en-US"/>
        </w:rPr>
        <w:t xml:space="preserve"> the</w:t>
      </w:r>
      <w:r w:rsidRPr="00781F4C">
        <w:rPr>
          <w:sz w:val="20"/>
          <w:szCs w:val="20"/>
          <w:lang w:val="en-US"/>
        </w:rPr>
        <w:t xml:space="preserve"> fertility rate destroy the environment or help improve the environment? To answer these questions, the main purpose of this study is to investigate the effect of export quality and fertility rate on the ecological footprint for a panel of 20 developing countries with quantum panel regression. The empirical findings of this study, in addition to contributing to the development of existing literature, have important implications for the policies of developing economies to protect the environment.</w:t>
      </w:r>
    </w:p>
    <w:p w14:paraId="08B62378" w14:textId="77C545DE" w:rsidR="00A67B52" w:rsidRPr="00781F4C" w:rsidRDefault="004F3974" w:rsidP="006D2EBD">
      <w:pPr>
        <w:ind w:firstLine="284"/>
        <w:jc w:val="both"/>
        <w:rPr>
          <w:sz w:val="20"/>
          <w:szCs w:val="20"/>
          <w:rtl/>
          <w:lang w:val="en-US"/>
        </w:rPr>
      </w:pPr>
      <w:r w:rsidRPr="00781F4C">
        <w:rPr>
          <w:sz w:val="20"/>
          <w:szCs w:val="20"/>
          <w:lang w:val="en-US"/>
        </w:rPr>
        <w:t>The rest of the structure of this paper is as follows: Section 2 shows a review of the literature, Section 3 presents data and models, Section 4 focuses on empirical results and discusses</w:t>
      </w:r>
      <w:r w:rsidR="00F4326B" w:rsidRPr="00781F4C">
        <w:rPr>
          <w:sz w:val="20"/>
          <w:szCs w:val="20"/>
          <w:lang w:val="en-US"/>
        </w:rPr>
        <w:t>, and finally, conclusions and t</w:t>
      </w:r>
      <w:r w:rsidRPr="00781F4C">
        <w:rPr>
          <w:sz w:val="20"/>
          <w:szCs w:val="20"/>
          <w:lang w:val="en-US"/>
        </w:rPr>
        <w:t>he policy implications are presented in Section 5.</w:t>
      </w:r>
    </w:p>
    <w:p w14:paraId="4EDCF59B" w14:textId="77777777" w:rsidR="00F22F63" w:rsidRPr="00781F4C" w:rsidRDefault="00F22F63" w:rsidP="00F22F63">
      <w:pPr>
        <w:autoSpaceDE w:val="0"/>
        <w:autoSpaceDN w:val="0"/>
        <w:adjustRightInd w:val="0"/>
        <w:ind w:firstLine="709"/>
        <w:jc w:val="right"/>
        <w:rPr>
          <w:rFonts w:asciiTheme="majorBidi" w:eastAsia="Calibri" w:hAnsiTheme="majorBidi" w:cstheme="majorBidi"/>
          <w:rtl/>
          <w:lang w:val="en-US" w:eastAsia="en-US" w:bidi="fa-IR"/>
        </w:rPr>
      </w:pPr>
    </w:p>
    <w:p w14:paraId="465EE924" w14:textId="77777777" w:rsidR="006E3EC8" w:rsidRPr="00781F4C" w:rsidRDefault="006E3EC8" w:rsidP="006E3EC8">
      <w:pPr>
        <w:jc w:val="both"/>
        <w:rPr>
          <w:lang w:val="en-US"/>
        </w:rPr>
      </w:pPr>
    </w:p>
    <w:p w14:paraId="4222E784" w14:textId="14AF6C41" w:rsidR="006E3EC8" w:rsidRPr="00781F4C" w:rsidRDefault="00C2148F" w:rsidP="00C2148F">
      <w:pPr>
        <w:pStyle w:val="ListParagraph"/>
        <w:ind w:left="0"/>
        <w:rPr>
          <w:b/>
          <w:bCs/>
          <w:sz w:val="22"/>
          <w:szCs w:val="22"/>
          <w:lang w:val="en-US"/>
        </w:rPr>
      </w:pPr>
      <w:r w:rsidRPr="00781F4C">
        <w:rPr>
          <w:b/>
          <w:bCs/>
          <w:sz w:val="22"/>
          <w:szCs w:val="22"/>
          <w:lang w:val="en-US"/>
        </w:rPr>
        <w:t xml:space="preserve">2. </w:t>
      </w:r>
      <w:r w:rsidR="006E3EC8" w:rsidRPr="00781F4C">
        <w:rPr>
          <w:b/>
          <w:bCs/>
          <w:sz w:val="22"/>
          <w:szCs w:val="22"/>
          <w:lang w:val="en-US"/>
        </w:rPr>
        <w:t>Literature review</w:t>
      </w:r>
    </w:p>
    <w:p w14:paraId="501879D6" w14:textId="77777777" w:rsidR="006E3EC8" w:rsidRPr="00781F4C" w:rsidRDefault="006E3EC8" w:rsidP="006E3EC8">
      <w:pPr>
        <w:jc w:val="both"/>
        <w:rPr>
          <w:lang w:val="en-US"/>
        </w:rPr>
      </w:pPr>
    </w:p>
    <w:p w14:paraId="2E59200D" w14:textId="09AD7DEB" w:rsidR="00F369E1" w:rsidRPr="00781F4C" w:rsidRDefault="00F369E1" w:rsidP="00F369E1">
      <w:pPr>
        <w:keepNext/>
        <w:spacing w:after="160" w:line="259" w:lineRule="auto"/>
        <w:jc w:val="both"/>
        <w:rPr>
          <w:rFonts w:eastAsia="Calibri" w:cs="B Nazanin"/>
          <w:sz w:val="20"/>
          <w:szCs w:val="20"/>
          <w:lang w:val="en-US" w:eastAsia="en-US" w:bidi="fa-IR"/>
        </w:rPr>
      </w:pPr>
      <w:r w:rsidRPr="00781F4C">
        <w:rPr>
          <w:rFonts w:eastAsia="Calibri" w:cs="B Nazanin"/>
          <w:sz w:val="20"/>
          <w:szCs w:val="20"/>
          <w:lang w:val="en-US" w:eastAsia="en-US" w:bidi="fa-IR"/>
        </w:rPr>
        <w:lastRenderedPageBreak/>
        <w:t>This section examines previous studies related to the variables of exp</w:t>
      </w:r>
      <w:r w:rsidR="00C619B4" w:rsidRPr="00781F4C">
        <w:rPr>
          <w:rFonts w:eastAsia="Calibri" w:cs="B Nazanin"/>
          <w:sz w:val="20"/>
          <w:szCs w:val="20"/>
          <w:lang w:val="en-US" w:eastAsia="en-US" w:bidi="fa-IR"/>
        </w:rPr>
        <w:t xml:space="preserve">ort quality </w:t>
      </w:r>
      <w:r w:rsidRPr="00781F4C">
        <w:rPr>
          <w:rFonts w:eastAsia="Calibri" w:cs="B Nazanin"/>
          <w:sz w:val="20"/>
          <w:szCs w:val="20"/>
          <w:lang w:val="en-US" w:eastAsia="en-US" w:bidi="fa-IR"/>
        </w:rPr>
        <w:t>and fertility rate on environmental performance.</w:t>
      </w:r>
    </w:p>
    <w:p w14:paraId="26C065AF" w14:textId="7D81B2A3" w:rsidR="0061512C" w:rsidRPr="00781F4C" w:rsidRDefault="00C2148F" w:rsidP="00C2148F">
      <w:pPr>
        <w:keepNext/>
        <w:spacing w:after="160" w:line="259" w:lineRule="auto"/>
        <w:contextualSpacing/>
        <w:rPr>
          <w:rFonts w:eastAsia="Calibri" w:cs="B Nazanin"/>
          <w:i/>
          <w:iCs/>
          <w:sz w:val="20"/>
          <w:szCs w:val="20"/>
          <w:lang w:val="en-US" w:eastAsia="en-US" w:bidi="fa-IR"/>
        </w:rPr>
      </w:pPr>
      <w:r w:rsidRPr="00781F4C">
        <w:rPr>
          <w:rFonts w:eastAsia="Calibri" w:cs="B Nazanin"/>
          <w:i/>
          <w:iCs/>
          <w:sz w:val="20"/>
          <w:szCs w:val="20"/>
          <w:lang w:val="en-US" w:eastAsia="en-US" w:bidi="fa-IR"/>
        </w:rPr>
        <w:t xml:space="preserve">1. </w:t>
      </w:r>
      <w:r w:rsidR="00F369E1" w:rsidRPr="00781F4C">
        <w:rPr>
          <w:rFonts w:eastAsia="Calibri" w:cs="B Nazanin"/>
          <w:i/>
          <w:iCs/>
          <w:sz w:val="20"/>
          <w:szCs w:val="20"/>
          <w:lang w:val="en-US" w:eastAsia="en-US" w:bidi="fa-IR"/>
        </w:rPr>
        <w:t xml:space="preserve">The relationship between export quality and </w:t>
      </w:r>
      <w:r w:rsidR="00F369E1" w:rsidRPr="00781F4C">
        <w:rPr>
          <w:i/>
          <w:iCs/>
          <w:sz w:val="20"/>
          <w:szCs w:val="20"/>
          <w:lang w:val="en-GB"/>
        </w:rPr>
        <w:t>ecological footprint</w:t>
      </w:r>
    </w:p>
    <w:p w14:paraId="3FCFB327" w14:textId="77777777" w:rsidR="00AF047A" w:rsidRPr="00781F4C" w:rsidRDefault="00AF047A" w:rsidP="00AF047A">
      <w:pPr>
        <w:keepNext/>
        <w:spacing w:after="160" w:line="259" w:lineRule="auto"/>
        <w:contextualSpacing/>
        <w:jc w:val="both"/>
        <w:rPr>
          <w:rFonts w:eastAsia="Calibri" w:cs="B Nazanin"/>
          <w:sz w:val="20"/>
          <w:szCs w:val="20"/>
          <w:lang w:val="en-US" w:eastAsia="en-US" w:bidi="fa-IR"/>
        </w:rPr>
      </w:pPr>
    </w:p>
    <w:p w14:paraId="1B4923A5" w14:textId="61715729" w:rsidR="00B67577" w:rsidRPr="00781F4C" w:rsidRDefault="0061512C" w:rsidP="00FC7A51">
      <w:pPr>
        <w:keepNext/>
        <w:spacing w:after="160" w:line="259" w:lineRule="auto"/>
        <w:ind w:firstLine="284"/>
        <w:jc w:val="both"/>
        <w:rPr>
          <w:rFonts w:eastAsia="Calibri" w:cs="B Nazanin"/>
          <w:sz w:val="20"/>
          <w:szCs w:val="20"/>
          <w:lang w:val="en-US" w:eastAsia="en-US" w:bidi="fa-IR"/>
        </w:rPr>
      </w:pPr>
      <w:r w:rsidRPr="00781F4C">
        <w:rPr>
          <w:rFonts w:eastAsia="Calibri" w:cs="B Nazanin"/>
          <w:sz w:val="20"/>
          <w:szCs w:val="20"/>
          <w:lang w:val="en-US" w:eastAsia="en-US" w:bidi="fa-IR"/>
        </w:rPr>
        <w:t>Various studies have shown that in addition to the volume of exports, attention to the quality of export products is also very important (</w:t>
      </w:r>
      <w:r w:rsidR="001A2129" w:rsidRPr="00781F4C">
        <w:rPr>
          <w:rFonts w:eastAsia="Calibri" w:cs="B Nazanin"/>
          <w:sz w:val="20"/>
          <w:szCs w:val="20"/>
          <w:lang w:val="en-US" w:eastAsia="en-US" w:bidi="fa-IR"/>
        </w:rPr>
        <w:t>Hausmann et al.</w:t>
      </w:r>
      <w:r w:rsidR="009A5719" w:rsidRPr="00781F4C">
        <w:rPr>
          <w:rFonts w:eastAsia="Calibri" w:cs="B Nazanin"/>
          <w:sz w:val="20"/>
          <w:szCs w:val="20"/>
          <w:lang w:val="en-US" w:eastAsia="en-US" w:bidi="fa-IR"/>
        </w:rPr>
        <w:t>,</w:t>
      </w:r>
      <w:r w:rsidRPr="00781F4C">
        <w:rPr>
          <w:rFonts w:eastAsia="Calibri" w:cs="B Nazanin"/>
          <w:sz w:val="20"/>
          <w:szCs w:val="20"/>
          <w:lang w:val="en-US" w:eastAsia="en-US" w:bidi="fa-IR"/>
        </w:rPr>
        <w:t xml:space="preserve"> 2014). Increasing the quality of a country's export products gives that country a competitive advantage over other competitors in international trade. Competitive advantage increases the income and wealth of the country. With </w:t>
      </w:r>
      <w:r w:rsidR="00B1486F" w:rsidRPr="00781F4C">
        <w:rPr>
          <w:rFonts w:eastAsia="Calibri" w:cs="B Nazanin"/>
          <w:sz w:val="20"/>
          <w:szCs w:val="20"/>
          <w:lang w:val="en-US" w:eastAsia="en-US" w:bidi="fa-IR"/>
        </w:rPr>
        <w:t>increase</w:t>
      </w:r>
      <w:r w:rsidR="00B1486F" w:rsidRPr="00781F4C" w:rsidDel="00B1486F">
        <w:rPr>
          <w:rFonts w:eastAsia="Calibri" w:cs="B Nazanin"/>
          <w:sz w:val="20"/>
          <w:szCs w:val="20"/>
          <w:lang w:val="en-US" w:eastAsia="en-US" w:bidi="fa-IR"/>
        </w:rPr>
        <w:t xml:space="preserve"> </w:t>
      </w:r>
      <w:r w:rsidRPr="00781F4C">
        <w:rPr>
          <w:rFonts w:eastAsia="Calibri" w:cs="B Nazanin"/>
          <w:sz w:val="20"/>
          <w:szCs w:val="20"/>
          <w:lang w:val="en-US" w:eastAsia="en-US" w:bidi="fa-IR"/>
        </w:rPr>
        <w:t>incomes, the possibility of investing in research and development activities increases</w:t>
      </w:r>
      <w:r w:rsidR="00C344E9" w:rsidRPr="00781F4C">
        <w:rPr>
          <w:rFonts w:eastAsia="Calibri" w:cs="B Nazanin"/>
          <w:sz w:val="20"/>
          <w:szCs w:val="20"/>
          <w:lang w:val="en-US" w:eastAsia="en-US" w:bidi="fa-IR"/>
        </w:rPr>
        <w:t xml:space="preserve"> (</w:t>
      </w:r>
      <w:proofErr w:type="spellStart"/>
      <w:r w:rsidR="00C344E9" w:rsidRPr="00781F4C">
        <w:rPr>
          <w:rFonts w:eastAsia="Calibri" w:cs="B Nazanin"/>
          <w:sz w:val="20"/>
          <w:szCs w:val="20"/>
          <w:lang w:val="en-US" w:eastAsia="en-US" w:bidi="fa-IR"/>
        </w:rPr>
        <w:t>Guloglu</w:t>
      </w:r>
      <w:proofErr w:type="spellEnd"/>
      <w:r w:rsidR="00C344E9" w:rsidRPr="00781F4C">
        <w:rPr>
          <w:rFonts w:eastAsia="Calibri" w:cs="B Nazanin"/>
          <w:sz w:val="20"/>
          <w:szCs w:val="20"/>
          <w:lang w:val="en-US" w:eastAsia="en-US" w:bidi="fa-IR"/>
        </w:rPr>
        <w:t xml:space="preserve"> &amp; Tekin, 2012). </w:t>
      </w:r>
      <w:r w:rsidR="00894F93" w:rsidRPr="00781F4C">
        <w:rPr>
          <w:rFonts w:eastAsia="Calibri" w:cs="B Nazanin"/>
          <w:sz w:val="20"/>
          <w:szCs w:val="20"/>
          <w:lang w:val="en-US" w:eastAsia="en-US" w:bidi="fa-IR"/>
        </w:rPr>
        <w:t xml:space="preserve">On the other </w:t>
      </w:r>
      <w:r w:rsidR="00A02E57" w:rsidRPr="00781F4C">
        <w:rPr>
          <w:rFonts w:eastAsia="Calibri" w:cs="B Nazanin"/>
          <w:sz w:val="20"/>
          <w:szCs w:val="20"/>
          <w:lang w:val="en-US" w:eastAsia="en-US" w:bidi="fa-IR"/>
        </w:rPr>
        <w:t xml:space="preserve">side, </w:t>
      </w:r>
      <w:r w:rsidR="00894F93" w:rsidRPr="00781F4C">
        <w:rPr>
          <w:rFonts w:eastAsia="Calibri" w:cs="B Nazanin"/>
          <w:sz w:val="20"/>
          <w:szCs w:val="20"/>
          <w:lang w:val="en-US" w:eastAsia="en-US" w:bidi="fa-IR"/>
        </w:rPr>
        <w:t xml:space="preserve">the increase </w:t>
      </w:r>
      <w:r w:rsidR="00A02E57" w:rsidRPr="00781F4C">
        <w:rPr>
          <w:rFonts w:eastAsia="Calibri" w:cs="B Nazanin"/>
          <w:sz w:val="20"/>
          <w:szCs w:val="20"/>
          <w:lang w:val="en-US" w:eastAsia="en-US" w:bidi="fa-IR"/>
        </w:rPr>
        <w:t xml:space="preserve">in </w:t>
      </w:r>
      <w:r w:rsidR="00894F93" w:rsidRPr="00781F4C">
        <w:rPr>
          <w:rFonts w:eastAsia="Calibri" w:cs="B Nazanin"/>
          <w:sz w:val="20"/>
          <w:szCs w:val="20"/>
          <w:lang w:val="en-US" w:eastAsia="en-US" w:bidi="fa-IR"/>
        </w:rPr>
        <w:t xml:space="preserve">R&amp;D </w:t>
      </w:r>
      <w:r w:rsidR="00A02E57" w:rsidRPr="00781F4C">
        <w:rPr>
          <w:rFonts w:eastAsia="Calibri" w:cs="B Nazanin"/>
          <w:sz w:val="20"/>
          <w:szCs w:val="20"/>
          <w:lang w:val="en-US" w:eastAsia="en-US" w:bidi="fa-IR"/>
        </w:rPr>
        <w:t xml:space="preserve">expenditure </w:t>
      </w:r>
      <w:r w:rsidRPr="00781F4C">
        <w:rPr>
          <w:rFonts w:eastAsia="Calibri" w:cs="B Nazanin"/>
          <w:sz w:val="20"/>
          <w:szCs w:val="20"/>
          <w:lang w:val="en-US" w:eastAsia="en-US" w:bidi="fa-IR"/>
        </w:rPr>
        <w:t>leads to a more efficient production process and increased use of environmentally friendly technologies.</w:t>
      </w:r>
      <w:r w:rsidR="00AF047A" w:rsidRPr="00781F4C">
        <w:t xml:space="preserve"> </w:t>
      </w:r>
      <w:r w:rsidR="00AF047A" w:rsidRPr="00781F4C">
        <w:rPr>
          <w:rFonts w:eastAsia="Calibri" w:cs="B Nazanin"/>
          <w:sz w:val="20"/>
          <w:szCs w:val="20"/>
          <w:lang w:val="en-US" w:eastAsia="en-US" w:bidi="fa-IR"/>
        </w:rPr>
        <w:t>Although the quality of exports has an important effect on the environment, it has not received much attention from researchers. Studies have also reported different results. Some studies have shown a positive relationship between export quality and environmental degradation.</w:t>
      </w:r>
      <w:r w:rsidR="00B12C74" w:rsidRPr="00781F4C">
        <w:rPr>
          <w:rFonts w:eastAsia="Calibri" w:cs="B Nazanin"/>
          <w:sz w:val="20"/>
          <w:szCs w:val="20"/>
          <w:lang w:val="en-US" w:eastAsia="en-US" w:bidi="fa-IR"/>
        </w:rPr>
        <w:t xml:space="preserve"> </w:t>
      </w:r>
      <w:r w:rsidR="00AF047A" w:rsidRPr="00781F4C">
        <w:rPr>
          <w:rFonts w:eastAsia="Calibri" w:cs="B Nazanin"/>
          <w:sz w:val="20"/>
          <w:szCs w:val="20"/>
          <w:lang w:val="en-US" w:eastAsia="en-US" w:bidi="fa-IR"/>
        </w:rPr>
        <w:t>Fang et al</w:t>
      </w:r>
      <w:r w:rsidR="00B12C74" w:rsidRPr="00781F4C">
        <w:rPr>
          <w:rFonts w:eastAsia="Calibri" w:cs="B Nazanin"/>
          <w:sz w:val="20"/>
          <w:szCs w:val="20"/>
          <w:lang w:val="en-US" w:eastAsia="en-US" w:bidi="fa-IR"/>
        </w:rPr>
        <w:t xml:space="preserve"> (2019)</w:t>
      </w:r>
      <w:r w:rsidR="00AF047A" w:rsidRPr="00781F4C">
        <w:rPr>
          <w:rFonts w:eastAsia="Calibri" w:cs="B Nazanin"/>
          <w:sz w:val="20"/>
          <w:szCs w:val="20"/>
          <w:lang w:val="en-US" w:eastAsia="en-US" w:bidi="fa-IR"/>
        </w:rPr>
        <w:t xml:space="preserve"> examin</w:t>
      </w:r>
      <w:r w:rsidR="009B47B7" w:rsidRPr="00781F4C">
        <w:rPr>
          <w:rFonts w:eastAsia="Calibri" w:cs="B Nazanin"/>
          <w:sz w:val="20"/>
          <w:szCs w:val="20"/>
          <w:lang w:val="en-US" w:eastAsia="en-US" w:bidi="fa-IR"/>
        </w:rPr>
        <w:t>ed</w:t>
      </w:r>
      <w:r w:rsidR="00AF047A" w:rsidRPr="00781F4C">
        <w:rPr>
          <w:rFonts w:eastAsia="Calibri" w:cs="B Nazanin"/>
          <w:sz w:val="20"/>
          <w:szCs w:val="20"/>
          <w:lang w:val="en-US" w:eastAsia="en-US" w:bidi="fa-IR"/>
        </w:rPr>
        <w:t xml:space="preserve"> the effect of export quality on </w:t>
      </w:r>
      <w:r w:rsidR="00B67577" w:rsidRPr="00781F4C">
        <w:rPr>
          <w:sz w:val="20"/>
          <w:szCs w:val="20"/>
          <w:lang w:val="en-GB"/>
        </w:rPr>
        <w:t>CO</w:t>
      </w:r>
      <w:r w:rsidR="00B67577" w:rsidRPr="00781F4C">
        <w:rPr>
          <w:sz w:val="20"/>
          <w:szCs w:val="20"/>
          <w:vertAlign w:val="subscript"/>
          <w:lang w:val="en-GB"/>
        </w:rPr>
        <w:t xml:space="preserve">2 </w:t>
      </w:r>
      <w:r w:rsidR="00AF047A" w:rsidRPr="00781F4C">
        <w:rPr>
          <w:rFonts w:eastAsia="Calibri" w:cs="B Nazanin"/>
          <w:sz w:val="20"/>
          <w:szCs w:val="20"/>
          <w:lang w:val="en-US" w:eastAsia="en-US" w:bidi="fa-IR"/>
        </w:rPr>
        <w:t>emissions in 82 developing countries.</w:t>
      </w:r>
      <w:r w:rsidR="00273DB0" w:rsidRPr="00781F4C">
        <w:rPr>
          <w:rFonts w:eastAsia="Calibri" w:cs="B Nazanin"/>
          <w:sz w:val="20"/>
          <w:szCs w:val="20"/>
          <w:lang w:val="en-US" w:eastAsia="en-US" w:bidi="fa-IR"/>
        </w:rPr>
        <w:t xml:space="preserve"> </w:t>
      </w:r>
      <w:r w:rsidR="00550778" w:rsidRPr="00781F4C">
        <w:rPr>
          <w:rFonts w:eastAsia="Calibri" w:cs="B Nazanin"/>
          <w:sz w:val="20"/>
          <w:szCs w:val="20"/>
          <w:lang w:val="en-US" w:eastAsia="en-US" w:bidi="fa-IR"/>
        </w:rPr>
        <w:t>Literature shows disagreement on the relationship between export quality and environmental degradation. Some studies have shown that increasing the quality of exports harms the environment</w:t>
      </w:r>
      <w:r w:rsidR="00E16762">
        <w:rPr>
          <w:rFonts w:eastAsia="Calibri" w:cs="B Nazanin"/>
          <w:sz w:val="20"/>
          <w:szCs w:val="20"/>
          <w:lang w:val="en-US" w:eastAsia="en-US" w:bidi="fa-IR"/>
        </w:rPr>
        <w:t xml:space="preserve"> </w:t>
      </w:r>
      <w:r w:rsidR="00550778" w:rsidRPr="00781F4C">
        <w:rPr>
          <w:rFonts w:eastAsia="Calibri" w:cs="B Nazanin"/>
          <w:sz w:val="20"/>
          <w:szCs w:val="20"/>
          <w:lang w:val="en-US" w:eastAsia="en-US" w:bidi="fa-IR"/>
        </w:rPr>
        <w:t>and reducing the quality of exports helps to improve the quality of the environment (Fang et al, 2019). Nevertheless, other studies have also shown that increasing the quality of exports helps to improve the quality of the environment (Murshed &amp; Dao, 2020).</w:t>
      </w:r>
      <w:r w:rsidR="00AF047A" w:rsidRPr="00781F4C">
        <w:rPr>
          <w:rFonts w:eastAsia="Calibri" w:cs="B Nazanin"/>
          <w:sz w:val="20"/>
          <w:szCs w:val="20"/>
          <w:lang w:val="en-US" w:eastAsia="en-US" w:bidi="fa-IR"/>
        </w:rPr>
        <w:t xml:space="preserve"> </w:t>
      </w:r>
      <w:r w:rsidR="005F4B65" w:rsidRPr="00781F4C">
        <w:t xml:space="preserve"> </w:t>
      </w:r>
      <w:r w:rsidR="00B12C74" w:rsidRPr="00781F4C">
        <w:rPr>
          <w:rFonts w:eastAsia="Calibri" w:cs="B Nazanin"/>
          <w:sz w:val="20"/>
          <w:szCs w:val="20"/>
          <w:lang w:val="en-US" w:eastAsia="en-US" w:bidi="fa-IR"/>
        </w:rPr>
        <w:t>Do</w:t>
      </w:r>
      <w:r w:rsidR="00EA3381" w:rsidRPr="00781F4C">
        <w:rPr>
          <w:rFonts w:eastAsia="Calibri" w:cs="B Nazanin"/>
          <w:sz w:val="20"/>
          <w:szCs w:val="20"/>
          <w:lang w:val="en-US" w:eastAsia="en-US" w:bidi="fa-IR"/>
        </w:rPr>
        <w:t>gan et al</w:t>
      </w:r>
      <w:r w:rsidR="005F4B65" w:rsidRPr="00781F4C">
        <w:rPr>
          <w:rFonts w:eastAsia="Calibri" w:cs="B Nazanin"/>
          <w:sz w:val="20"/>
          <w:szCs w:val="20"/>
          <w:lang w:val="en-US" w:eastAsia="en-US" w:bidi="fa-IR"/>
        </w:rPr>
        <w:t xml:space="preserve"> (2020) investigated the impact of export quality on </w:t>
      </w:r>
      <w:r w:rsidR="00B67577" w:rsidRPr="00781F4C">
        <w:rPr>
          <w:sz w:val="20"/>
          <w:szCs w:val="20"/>
          <w:lang w:val="en-GB"/>
        </w:rPr>
        <w:t>CO</w:t>
      </w:r>
      <w:r w:rsidR="00B67577" w:rsidRPr="00781F4C">
        <w:rPr>
          <w:sz w:val="20"/>
          <w:szCs w:val="20"/>
          <w:vertAlign w:val="subscript"/>
          <w:lang w:val="en-GB"/>
        </w:rPr>
        <w:t>2</w:t>
      </w:r>
      <w:r w:rsidR="005F4B65" w:rsidRPr="00781F4C">
        <w:rPr>
          <w:rFonts w:eastAsia="Calibri" w:cs="B Nazanin"/>
          <w:sz w:val="20"/>
          <w:szCs w:val="20"/>
          <w:lang w:val="en-US" w:eastAsia="en-US" w:bidi="fa-IR"/>
        </w:rPr>
        <w:t xml:space="preserve"> emissions. For this purpose, they used data from 63 developing and developed countries during the period 1971-2014 using quantile panel regression. </w:t>
      </w:r>
      <w:r w:rsidR="00B12C74" w:rsidRPr="00781F4C">
        <w:rPr>
          <w:rFonts w:eastAsia="Calibri" w:cs="B Nazanin"/>
          <w:sz w:val="20"/>
          <w:szCs w:val="20"/>
          <w:lang w:val="en-US" w:eastAsia="en-US" w:bidi="fa-IR"/>
        </w:rPr>
        <w:t xml:space="preserve">Their experimental results showed that increasing the quality of exports increases </w:t>
      </w:r>
      <w:r w:rsidR="00B67577" w:rsidRPr="00781F4C">
        <w:rPr>
          <w:sz w:val="20"/>
          <w:szCs w:val="20"/>
          <w:lang w:val="en-GB"/>
        </w:rPr>
        <w:t>CO</w:t>
      </w:r>
      <w:r w:rsidR="00B67577" w:rsidRPr="00781F4C">
        <w:rPr>
          <w:sz w:val="20"/>
          <w:szCs w:val="20"/>
          <w:vertAlign w:val="subscript"/>
          <w:lang w:val="en-GB"/>
        </w:rPr>
        <w:t>2</w:t>
      </w:r>
      <w:r w:rsidR="00B12C74" w:rsidRPr="00781F4C">
        <w:rPr>
          <w:rFonts w:eastAsia="Calibri" w:cs="B Nazanin"/>
          <w:sz w:val="20"/>
          <w:szCs w:val="20"/>
          <w:lang w:val="en-US" w:eastAsia="en-US" w:bidi="fa-IR"/>
        </w:rPr>
        <w:t xml:space="preserve"> emissions and environmental degradation. </w:t>
      </w:r>
      <w:r w:rsidR="00EA3381" w:rsidRPr="00781F4C">
        <w:rPr>
          <w:rFonts w:eastAsia="Calibri" w:cs="B Nazanin"/>
          <w:sz w:val="20"/>
          <w:szCs w:val="20"/>
          <w:lang w:val="en-US" w:eastAsia="en-US" w:bidi="fa-IR"/>
        </w:rPr>
        <w:t>Wang et al</w:t>
      </w:r>
      <w:r w:rsidR="00B12C74" w:rsidRPr="00781F4C">
        <w:rPr>
          <w:rFonts w:eastAsia="Calibri" w:cs="B Nazanin"/>
          <w:sz w:val="20"/>
          <w:szCs w:val="20"/>
          <w:lang w:val="en-US" w:eastAsia="en-US" w:bidi="fa-IR"/>
        </w:rPr>
        <w:t xml:space="preserve"> (2021) discussed the effect of export quality on </w:t>
      </w:r>
      <w:r w:rsidR="00B67577" w:rsidRPr="00781F4C">
        <w:rPr>
          <w:sz w:val="20"/>
          <w:szCs w:val="20"/>
          <w:lang w:val="en-GB"/>
        </w:rPr>
        <w:t>CO</w:t>
      </w:r>
      <w:r w:rsidR="00B67577" w:rsidRPr="00781F4C">
        <w:rPr>
          <w:sz w:val="20"/>
          <w:szCs w:val="20"/>
          <w:vertAlign w:val="subscript"/>
          <w:lang w:val="en-GB"/>
        </w:rPr>
        <w:t>2</w:t>
      </w:r>
      <w:r w:rsidR="00B12C74" w:rsidRPr="00781F4C">
        <w:rPr>
          <w:rFonts w:eastAsia="Calibri" w:cs="B Nazanin"/>
          <w:sz w:val="20"/>
          <w:szCs w:val="20"/>
          <w:lang w:val="en-US" w:eastAsia="en-US" w:bidi="fa-IR"/>
        </w:rPr>
        <w:t xml:space="preserve"> emissions in a panel of the top 10 countries in the Economic Complexity Index and the top 10 renewable energy countries. They used DOLS</w:t>
      </w:r>
      <w:r w:rsidR="0026098E" w:rsidRPr="00781F4C">
        <w:rPr>
          <w:rFonts w:eastAsia="Calibri" w:cs="B Nazanin"/>
          <w:sz w:val="20"/>
          <w:szCs w:val="20"/>
          <w:lang w:val="en-US" w:eastAsia="en-US" w:bidi="fa-IR"/>
        </w:rPr>
        <w:t xml:space="preserve"> (Dynamic O</w:t>
      </w:r>
      <w:r w:rsidR="003D6164" w:rsidRPr="00781F4C">
        <w:rPr>
          <w:rFonts w:eastAsia="Calibri" w:cs="B Nazanin"/>
          <w:sz w:val="20"/>
          <w:szCs w:val="20"/>
          <w:lang w:val="en-US" w:eastAsia="en-US" w:bidi="fa-IR"/>
        </w:rPr>
        <w:t xml:space="preserve">rdinary </w:t>
      </w:r>
      <w:r w:rsidR="0026098E" w:rsidRPr="00781F4C">
        <w:rPr>
          <w:rFonts w:eastAsia="Calibri" w:cs="B Nazanin"/>
          <w:sz w:val="20"/>
          <w:szCs w:val="20"/>
          <w:lang w:val="en-US" w:eastAsia="en-US" w:bidi="fa-IR"/>
        </w:rPr>
        <w:t>L</w:t>
      </w:r>
      <w:r w:rsidR="003D6164" w:rsidRPr="00781F4C">
        <w:rPr>
          <w:rFonts w:eastAsia="Calibri" w:cs="B Nazanin"/>
          <w:sz w:val="20"/>
          <w:szCs w:val="20"/>
          <w:lang w:val="en-US" w:eastAsia="en-US" w:bidi="fa-IR"/>
        </w:rPr>
        <w:t xml:space="preserve">east </w:t>
      </w:r>
      <w:r w:rsidR="0026098E" w:rsidRPr="00781F4C">
        <w:rPr>
          <w:rFonts w:eastAsia="Calibri" w:cs="B Nazanin"/>
          <w:sz w:val="20"/>
          <w:szCs w:val="20"/>
          <w:lang w:val="en-US" w:eastAsia="en-US" w:bidi="fa-IR"/>
        </w:rPr>
        <w:t>S</w:t>
      </w:r>
      <w:r w:rsidR="003D6164" w:rsidRPr="00781F4C">
        <w:rPr>
          <w:rFonts w:eastAsia="Calibri" w:cs="B Nazanin"/>
          <w:sz w:val="20"/>
          <w:szCs w:val="20"/>
          <w:lang w:val="en-US" w:eastAsia="en-US" w:bidi="fa-IR"/>
        </w:rPr>
        <w:t>quares</w:t>
      </w:r>
      <w:r w:rsidR="0026098E" w:rsidRPr="00781F4C">
        <w:rPr>
          <w:rFonts w:eastAsia="Calibri" w:cs="B Nazanin"/>
          <w:sz w:val="20"/>
          <w:szCs w:val="20"/>
          <w:lang w:val="en-US" w:eastAsia="en-US" w:bidi="fa-IR"/>
        </w:rPr>
        <w:t>)</w:t>
      </w:r>
      <w:r w:rsidR="00B12C74" w:rsidRPr="00781F4C">
        <w:rPr>
          <w:rFonts w:eastAsia="Calibri" w:cs="B Nazanin"/>
          <w:sz w:val="20"/>
          <w:szCs w:val="20"/>
          <w:lang w:val="en-US" w:eastAsia="en-US" w:bidi="fa-IR"/>
        </w:rPr>
        <w:t xml:space="preserve"> and FMOLS</w:t>
      </w:r>
      <w:r w:rsidR="0026098E" w:rsidRPr="00781F4C">
        <w:rPr>
          <w:rFonts w:eastAsia="Calibri" w:cs="B Nazanin"/>
          <w:sz w:val="20"/>
          <w:szCs w:val="20"/>
          <w:lang w:val="en-US" w:eastAsia="en-US" w:bidi="fa-IR"/>
        </w:rPr>
        <w:t xml:space="preserve"> (Fully Modified O</w:t>
      </w:r>
      <w:r w:rsidR="00465301" w:rsidRPr="00781F4C">
        <w:rPr>
          <w:rFonts w:eastAsia="Calibri" w:cs="B Nazanin"/>
          <w:sz w:val="20"/>
          <w:szCs w:val="20"/>
          <w:lang w:val="en-US" w:eastAsia="en-US" w:bidi="fa-IR"/>
        </w:rPr>
        <w:t xml:space="preserve">rdinary </w:t>
      </w:r>
      <w:r w:rsidR="0026098E" w:rsidRPr="00781F4C">
        <w:rPr>
          <w:rFonts w:eastAsia="Calibri" w:cs="B Nazanin"/>
          <w:sz w:val="20"/>
          <w:szCs w:val="20"/>
          <w:lang w:val="en-US" w:eastAsia="en-US" w:bidi="fa-IR"/>
        </w:rPr>
        <w:t>L</w:t>
      </w:r>
      <w:r w:rsidR="00465301" w:rsidRPr="00781F4C">
        <w:rPr>
          <w:rFonts w:eastAsia="Calibri" w:cs="B Nazanin"/>
          <w:sz w:val="20"/>
          <w:szCs w:val="20"/>
          <w:lang w:val="en-US" w:eastAsia="en-US" w:bidi="fa-IR"/>
        </w:rPr>
        <w:t xml:space="preserve">east </w:t>
      </w:r>
      <w:r w:rsidR="0026098E" w:rsidRPr="00781F4C">
        <w:rPr>
          <w:rFonts w:eastAsia="Calibri" w:cs="B Nazanin"/>
          <w:sz w:val="20"/>
          <w:szCs w:val="20"/>
          <w:lang w:val="en-US" w:eastAsia="en-US" w:bidi="fa-IR"/>
        </w:rPr>
        <w:t>S</w:t>
      </w:r>
      <w:r w:rsidR="00465301" w:rsidRPr="00781F4C">
        <w:rPr>
          <w:rFonts w:eastAsia="Calibri" w:cs="B Nazanin"/>
          <w:sz w:val="20"/>
          <w:szCs w:val="20"/>
          <w:lang w:val="en-US" w:eastAsia="en-US" w:bidi="fa-IR"/>
        </w:rPr>
        <w:t>quares</w:t>
      </w:r>
      <w:r w:rsidR="0026098E" w:rsidRPr="00781F4C">
        <w:rPr>
          <w:rFonts w:eastAsia="Calibri" w:cs="B Nazanin"/>
          <w:sz w:val="20"/>
          <w:szCs w:val="20"/>
          <w:lang w:val="en-US" w:eastAsia="en-US" w:bidi="fa-IR"/>
        </w:rPr>
        <w:t>)</w:t>
      </w:r>
      <w:r w:rsidR="00B12C74" w:rsidRPr="00781F4C">
        <w:rPr>
          <w:rFonts w:eastAsia="Calibri" w:cs="B Nazanin"/>
          <w:sz w:val="20"/>
          <w:szCs w:val="20"/>
          <w:lang w:val="en-US" w:eastAsia="en-US" w:bidi="fa-IR"/>
        </w:rPr>
        <w:t xml:space="preserve"> models for experimental analysis. Their results showed that the quality of exports</w:t>
      </w:r>
      <w:r w:rsidR="00960B22" w:rsidRPr="00781F4C">
        <w:rPr>
          <w:rFonts w:eastAsia="Calibri" w:cs="B Nazanin"/>
          <w:sz w:val="20"/>
          <w:szCs w:val="20"/>
          <w:lang w:val="en-US" w:eastAsia="en-US" w:bidi="fa-IR"/>
        </w:rPr>
        <w:t>,</w:t>
      </w:r>
      <w:r w:rsidR="00B12C74" w:rsidRPr="00781F4C">
        <w:rPr>
          <w:rFonts w:eastAsia="Calibri" w:cs="B Nazanin"/>
          <w:sz w:val="20"/>
          <w:szCs w:val="20"/>
          <w:lang w:val="en-US" w:eastAsia="en-US" w:bidi="fa-IR"/>
        </w:rPr>
        <w:t xml:space="preserve"> in the long run</w:t>
      </w:r>
      <w:r w:rsidR="00960B22" w:rsidRPr="00781F4C">
        <w:rPr>
          <w:rFonts w:eastAsia="Calibri" w:cs="B Nazanin"/>
          <w:sz w:val="20"/>
          <w:szCs w:val="20"/>
          <w:lang w:val="en-US" w:eastAsia="en-US" w:bidi="fa-IR"/>
        </w:rPr>
        <w:t>,</w:t>
      </w:r>
      <w:r w:rsidR="00B12C74" w:rsidRPr="00781F4C">
        <w:rPr>
          <w:rFonts w:eastAsia="Calibri" w:cs="B Nazanin"/>
          <w:sz w:val="20"/>
          <w:szCs w:val="20"/>
          <w:lang w:val="en-US" w:eastAsia="en-US" w:bidi="fa-IR"/>
        </w:rPr>
        <w:t xml:space="preserve"> increases </w:t>
      </w:r>
      <w:r w:rsidR="00B67577" w:rsidRPr="00781F4C">
        <w:rPr>
          <w:sz w:val="20"/>
          <w:szCs w:val="20"/>
          <w:lang w:val="en-GB"/>
        </w:rPr>
        <w:t>CO</w:t>
      </w:r>
      <w:r w:rsidR="00B67577" w:rsidRPr="00781F4C">
        <w:rPr>
          <w:sz w:val="20"/>
          <w:szCs w:val="20"/>
          <w:vertAlign w:val="subscript"/>
          <w:lang w:val="en-GB"/>
        </w:rPr>
        <w:t>2</w:t>
      </w:r>
      <w:r w:rsidR="00B12C74" w:rsidRPr="00781F4C">
        <w:rPr>
          <w:rFonts w:eastAsia="Calibri" w:cs="B Nazanin"/>
          <w:sz w:val="20"/>
          <w:szCs w:val="20"/>
          <w:lang w:val="en-US" w:eastAsia="en-US" w:bidi="fa-IR"/>
        </w:rPr>
        <w:t xml:space="preserve"> emissions and environmental degradation.</w:t>
      </w:r>
    </w:p>
    <w:p w14:paraId="1E18C440" w14:textId="563CEC84" w:rsidR="00AF047A" w:rsidRPr="00781F4C" w:rsidRDefault="0084540A" w:rsidP="006D2EBD">
      <w:pPr>
        <w:keepNext/>
        <w:spacing w:after="160" w:line="259" w:lineRule="auto"/>
        <w:ind w:firstLine="284"/>
        <w:jc w:val="both"/>
        <w:rPr>
          <w:rFonts w:eastAsia="Calibri" w:cs="B Nazanin"/>
          <w:sz w:val="20"/>
          <w:szCs w:val="20"/>
          <w:lang w:val="en-US" w:eastAsia="en-US" w:bidi="fa-IR"/>
        </w:rPr>
      </w:pPr>
      <w:r w:rsidRPr="00781F4C">
        <w:rPr>
          <w:rFonts w:eastAsia="Calibri" w:cs="B Nazanin"/>
          <w:sz w:val="20"/>
          <w:szCs w:val="20"/>
          <w:lang w:val="en-US" w:eastAsia="en-US" w:bidi="fa-IR"/>
        </w:rPr>
        <w:t xml:space="preserve">A group of studies found a negative relationship between export quality and environmental degradation. </w:t>
      </w:r>
      <w:proofErr w:type="spellStart"/>
      <w:r w:rsidRPr="00781F4C">
        <w:rPr>
          <w:rFonts w:eastAsia="Calibri" w:cs="B Nazanin"/>
          <w:sz w:val="20"/>
          <w:szCs w:val="20"/>
          <w:lang w:val="en-US" w:eastAsia="en-US" w:bidi="fa-IR"/>
        </w:rPr>
        <w:t>Gozgor</w:t>
      </w:r>
      <w:proofErr w:type="spellEnd"/>
      <w:r w:rsidRPr="00781F4C">
        <w:rPr>
          <w:rFonts w:eastAsia="Calibri" w:cs="B Nazanin"/>
          <w:sz w:val="20"/>
          <w:szCs w:val="20"/>
          <w:lang w:val="en-US" w:eastAsia="en-US" w:bidi="fa-IR"/>
        </w:rPr>
        <w:t xml:space="preserve"> and Can (2017) analyzed the effect of export quality on </w:t>
      </w:r>
      <w:r w:rsidR="00B67577" w:rsidRPr="00781F4C">
        <w:rPr>
          <w:sz w:val="20"/>
          <w:szCs w:val="20"/>
          <w:lang w:val="en-GB"/>
        </w:rPr>
        <w:t>CO</w:t>
      </w:r>
      <w:r w:rsidR="00B67577" w:rsidRPr="00781F4C">
        <w:rPr>
          <w:sz w:val="20"/>
          <w:szCs w:val="20"/>
          <w:vertAlign w:val="subscript"/>
          <w:lang w:val="en-GB"/>
        </w:rPr>
        <w:t>2</w:t>
      </w:r>
      <w:r w:rsidRPr="00781F4C">
        <w:rPr>
          <w:rFonts w:eastAsia="Calibri" w:cs="B Nazanin"/>
          <w:sz w:val="20"/>
          <w:szCs w:val="20"/>
          <w:lang w:val="en-US" w:eastAsia="en-US" w:bidi="fa-IR"/>
        </w:rPr>
        <w:t xml:space="preserve"> emissions in China.</w:t>
      </w:r>
      <w:r w:rsidRPr="00781F4C">
        <w:t xml:space="preserve"> </w:t>
      </w:r>
      <w:r w:rsidRPr="00781F4C">
        <w:rPr>
          <w:rFonts w:eastAsia="Calibri" w:cs="B Nazanin"/>
          <w:sz w:val="20"/>
          <w:szCs w:val="20"/>
          <w:lang w:val="en-US" w:eastAsia="en-US" w:bidi="fa-IR"/>
        </w:rPr>
        <w:t xml:space="preserve">They found that export quality reduced </w:t>
      </w:r>
      <w:r w:rsidR="00B67577" w:rsidRPr="00781F4C">
        <w:rPr>
          <w:sz w:val="20"/>
          <w:szCs w:val="20"/>
          <w:lang w:val="en-GB"/>
        </w:rPr>
        <w:t>CO</w:t>
      </w:r>
      <w:r w:rsidR="00B67577" w:rsidRPr="00781F4C">
        <w:rPr>
          <w:sz w:val="20"/>
          <w:szCs w:val="20"/>
          <w:vertAlign w:val="subscript"/>
          <w:lang w:val="en-GB"/>
        </w:rPr>
        <w:t>2</w:t>
      </w:r>
      <w:r w:rsidRPr="00781F4C">
        <w:rPr>
          <w:rFonts w:eastAsia="Calibri" w:cs="B Nazanin"/>
          <w:sz w:val="20"/>
          <w:szCs w:val="20"/>
          <w:lang w:val="en-US" w:eastAsia="en-US" w:bidi="fa-IR"/>
        </w:rPr>
        <w:t xml:space="preserve"> emissions and improved the environment. In addition, they showed that economic growth and energy consumption contribute to environmental degradation. </w:t>
      </w:r>
      <w:r w:rsidR="00EA3381" w:rsidRPr="00781F4C">
        <w:rPr>
          <w:rFonts w:eastAsia="Calibri" w:cs="B Nazanin"/>
          <w:sz w:val="20"/>
          <w:szCs w:val="20"/>
          <w:lang w:val="en-US" w:eastAsia="en-US" w:bidi="fa-IR"/>
        </w:rPr>
        <w:t>Murshed and</w:t>
      </w:r>
      <w:r w:rsidR="004671A7" w:rsidRPr="00781F4C">
        <w:rPr>
          <w:rFonts w:eastAsia="Calibri" w:cs="B Nazanin"/>
          <w:sz w:val="20"/>
          <w:szCs w:val="20"/>
          <w:lang w:val="en-US" w:eastAsia="en-US" w:bidi="fa-IR"/>
        </w:rPr>
        <w:t xml:space="preserve"> Dao </w:t>
      </w:r>
      <w:r w:rsidRPr="00781F4C">
        <w:rPr>
          <w:rFonts w:eastAsia="Calibri" w:cs="B Nazanin"/>
          <w:sz w:val="20"/>
          <w:szCs w:val="20"/>
          <w:lang w:val="en-US" w:eastAsia="en-US" w:bidi="fa-IR"/>
        </w:rPr>
        <w:t>(2020) analyzed the impact of export quality on the environment in selected Asian countries (such as Bangladesh, India, Pakistan, Sri Lanka</w:t>
      </w:r>
      <w:r w:rsidR="00960B22" w:rsidRPr="00781F4C">
        <w:rPr>
          <w:rFonts w:eastAsia="Calibri" w:cs="B Nazanin"/>
          <w:sz w:val="20"/>
          <w:szCs w:val="20"/>
          <w:lang w:val="en-US" w:eastAsia="en-US" w:bidi="fa-IR"/>
        </w:rPr>
        <w:t>,</w:t>
      </w:r>
      <w:r w:rsidRPr="00781F4C">
        <w:rPr>
          <w:rFonts w:eastAsia="Calibri" w:cs="B Nazanin"/>
          <w:sz w:val="20"/>
          <w:szCs w:val="20"/>
          <w:lang w:val="en-US" w:eastAsia="en-US" w:bidi="fa-IR"/>
        </w:rPr>
        <w:t xml:space="preserve"> and Nepal) during the period 1972-2014. They used the FMOLS approach for experimental analysis. Their results showed that increasing the quality of exports reduces </w:t>
      </w:r>
      <w:r w:rsidR="00B67577" w:rsidRPr="00781F4C">
        <w:rPr>
          <w:sz w:val="20"/>
          <w:szCs w:val="20"/>
          <w:lang w:val="en-GB"/>
        </w:rPr>
        <w:t>CO</w:t>
      </w:r>
      <w:r w:rsidR="00B67577" w:rsidRPr="00781F4C">
        <w:rPr>
          <w:sz w:val="20"/>
          <w:szCs w:val="20"/>
          <w:vertAlign w:val="subscript"/>
          <w:lang w:val="en-GB"/>
        </w:rPr>
        <w:t>2</w:t>
      </w:r>
      <w:r w:rsidRPr="00781F4C">
        <w:rPr>
          <w:rFonts w:eastAsia="Calibri" w:cs="B Nazanin"/>
          <w:sz w:val="20"/>
          <w:szCs w:val="20"/>
          <w:lang w:val="en-US" w:eastAsia="en-US" w:bidi="fa-IR"/>
        </w:rPr>
        <w:t xml:space="preserve"> emissions and reduces environmental degradation. In addition, they found that the overall effects of economic growth on </w:t>
      </w:r>
      <w:r w:rsidR="00B67577" w:rsidRPr="00781F4C">
        <w:rPr>
          <w:sz w:val="20"/>
          <w:szCs w:val="20"/>
          <w:lang w:val="en-GB"/>
        </w:rPr>
        <w:t>CO</w:t>
      </w:r>
      <w:r w:rsidR="00B67577" w:rsidRPr="00781F4C">
        <w:rPr>
          <w:sz w:val="20"/>
          <w:szCs w:val="20"/>
          <w:vertAlign w:val="subscript"/>
          <w:lang w:val="en-GB"/>
        </w:rPr>
        <w:t>2</w:t>
      </w:r>
      <w:r w:rsidRPr="00781F4C">
        <w:rPr>
          <w:rFonts w:eastAsia="Calibri" w:cs="B Nazanin"/>
          <w:sz w:val="20"/>
          <w:szCs w:val="20"/>
          <w:lang w:val="en-US" w:eastAsia="en-US" w:bidi="fa-IR"/>
        </w:rPr>
        <w:t xml:space="preserve"> emissions and environmental degradation depend on the quality of exports. Therefore, they concluded that increasing the quality of export products guarantees environmental sustainability throughout Asia.</w:t>
      </w:r>
    </w:p>
    <w:p w14:paraId="1B824664" w14:textId="77777777" w:rsidR="00F369E1" w:rsidRPr="00781F4C" w:rsidRDefault="00F369E1" w:rsidP="00F369E1">
      <w:pPr>
        <w:keepNext/>
        <w:spacing w:after="160" w:line="259" w:lineRule="auto"/>
        <w:jc w:val="both"/>
        <w:rPr>
          <w:rFonts w:eastAsia="Calibri" w:cs="B Nazanin"/>
          <w:sz w:val="20"/>
          <w:szCs w:val="20"/>
          <w:lang w:val="en-US" w:eastAsia="en-US" w:bidi="fa-IR"/>
        </w:rPr>
      </w:pPr>
    </w:p>
    <w:p w14:paraId="39F0B770" w14:textId="79F5B204" w:rsidR="00F369E1" w:rsidRPr="00781F4C" w:rsidRDefault="00C2148F" w:rsidP="00C2148F">
      <w:pPr>
        <w:keepNext/>
        <w:spacing w:after="160" w:line="259" w:lineRule="auto"/>
        <w:rPr>
          <w:rFonts w:eastAsia="Calibri" w:cs="B Nazanin"/>
          <w:i/>
          <w:iCs/>
          <w:sz w:val="20"/>
          <w:szCs w:val="20"/>
          <w:lang w:val="en-US" w:eastAsia="en-US" w:bidi="fa-IR"/>
        </w:rPr>
      </w:pPr>
      <w:r w:rsidRPr="00781F4C">
        <w:rPr>
          <w:rFonts w:eastAsia="Calibri" w:cs="B Nazanin"/>
          <w:i/>
          <w:iCs/>
          <w:sz w:val="20"/>
          <w:szCs w:val="20"/>
          <w:lang w:val="en-US" w:eastAsia="en-US" w:bidi="fa-IR"/>
        </w:rPr>
        <w:t xml:space="preserve">2. </w:t>
      </w:r>
      <w:r w:rsidR="00F369E1" w:rsidRPr="00781F4C">
        <w:rPr>
          <w:rFonts w:eastAsia="Calibri" w:cs="B Nazanin"/>
          <w:i/>
          <w:iCs/>
          <w:sz w:val="20"/>
          <w:szCs w:val="20"/>
          <w:lang w:val="en-US" w:eastAsia="en-US" w:bidi="fa-IR"/>
        </w:rPr>
        <w:t>The relationship between fertility rate and ecological footprint</w:t>
      </w:r>
    </w:p>
    <w:p w14:paraId="165AA42D" w14:textId="3A2F3EBB" w:rsidR="00F369E1" w:rsidRPr="00781F4C" w:rsidRDefault="00D85A39" w:rsidP="0026098E">
      <w:pPr>
        <w:keepNext/>
        <w:spacing w:after="160" w:line="259" w:lineRule="auto"/>
        <w:ind w:firstLine="284"/>
        <w:jc w:val="both"/>
        <w:rPr>
          <w:rFonts w:eastAsia="Calibri" w:cs="B Nazanin"/>
          <w:sz w:val="20"/>
          <w:szCs w:val="20"/>
          <w:lang w:val="en-US" w:eastAsia="en-US" w:bidi="fa-IR"/>
        </w:rPr>
      </w:pPr>
      <w:r w:rsidRPr="00781F4C">
        <w:rPr>
          <w:rFonts w:eastAsia="Calibri" w:cs="B Nazanin"/>
          <w:sz w:val="20"/>
          <w:szCs w:val="20"/>
          <w:lang w:val="en-US" w:eastAsia="en-US" w:bidi="fa-IR"/>
        </w:rPr>
        <w:t>In reviewing and analyzing previous studies in the discussion of population, fertility rate</w:t>
      </w:r>
      <w:r w:rsidR="00C171F1" w:rsidRPr="00781F4C">
        <w:rPr>
          <w:rFonts w:eastAsia="Calibri" w:cs="B Nazanin"/>
          <w:sz w:val="20"/>
          <w:szCs w:val="20"/>
          <w:lang w:val="en-US" w:eastAsia="en-US" w:bidi="fa-IR"/>
        </w:rPr>
        <w:t>,</w:t>
      </w:r>
      <w:r w:rsidRPr="00781F4C">
        <w:rPr>
          <w:rFonts w:eastAsia="Calibri" w:cs="B Nazanin"/>
          <w:sz w:val="20"/>
          <w:szCs w:val="20"/>
          <w:lang w:val="en-US" w:eastAsia="en-US" w:bidi="fa-IR"/>
        </w:rPr>
        <w:t xml:space="preserve"> and environment, there is a great variety in the results and their interpretation. </w:t>
      </w:r>
      <w:r w:rsidR="00C11450" w:rsidRPr="00781F4C">
        <w:rPr>
          <w:rFonts w:eastAsia="Calibri" w:cs="B Nazanin"/>
          <w:sz w:val="20"/>
          <w:szCs w:val="20"/>
          <w:lang w:val="en-US" w:eastAsia="en-US" w:bidi="fa-IR"/>
        </w:rPr>
        <w:t>Undoubtedly, one reason for this diversity can be considered different time periods, groups of different countries studied and different methods used.</w:t>
      </w:r>
      <w:r w:rsidR="00C11450" w:rsidRPr="00781F4C">
        <w:t xml:space="preserve"> </w:t>
      </w:r>
      <w:r w:rsidR="00C11450" w:rsidRPr="00781F4C">
        <w:rPr>
          <w:rFonts w:eastAsia="Calibri" w:cs="B Nazanin"/>
          <w:sz w:val="20"/>
          <w:szCs w:val="20"/>
          <w:lang w:val="en-US" w:eastAsia="en-US" w:bidi="fa-IR"/>
        </w:rPr>
        <w:t>Some theories suggest that increasing fertility rates and population</w:t>
      </w:r>
      <w:r w:rsidR="0026098E" w:rsidRPr="00781F4C">
        <w:rPr>
          <w:rFonts w:eastAsia="Calibri" w:cs="B Nazanin"/>
          <w:sz w:val="20"/>
          <w:szCs w:val="20"/>
          <w:lang w:val="en-US" w:eastAsia="en-US" w:bidi="fa-IR"/>
        </w:rPr>
        <w:t>s</w:t>
      </w:r>
      <w:r w:rsidR="00C11450" w:rsidRPr="00781F4C">
        <w:rPr>
          <w:rFonts w:eastAsia="Calibri" w:cs="B Nazanin"/>
          <w:sz w:val="20"/>
          <w:szCs w:val="20"/>
          <w:lang w:val="en-US" w:eastAsia="en-US" w:bidi="fa-IR"/>
        </w:rPr>
        <w:t xml:space="preserve"> increase the use of natural resources</w:t>
      </w:r>
      <w:r w:rsidR="0026098E" w:rsidRPr="00781F4C">
        <w:rPr>
          <w:rFonts w:eastAsia="Calibri" w:cs="B Nazanin"/>
          <w:sz w:val="20"/>
          <w:szCs w:val="20"/>
          <w:lang w:val="en-US" w:eastAsia="en-US" w:bidi="fa-IR"/>
        </w:rPr>
        <w:t xml:space="preserve"> due to increases aggregate consumption</w:t>
      </w:r>
      <w:r w:rsidR="00C11450" w:rsidRPr="00781F4C">
        <w:rPr>
          <w:rFonts w:eastAsia="Calibri" w:cs="B Nazanin"/>
          <w:sz w:val="20"/>
          <w:szCs w:val="20"/>
          <w:lang w:val="en-US" w:eastAsia="en-US" w:bidi="fa-IR"/>
        </w:rPr>
        <w:t>. Due to the limited resources and capacity of the planet, population growth causes environmental degradation (</w:t>
      </w:r>
      <w:r w:rsidR="00902B94" w:rsidRPr="00781F4C">
        <w:rPr>
          <w:rFonts w:eastAsia="Calibri" w:cs="B Nazanin"/>
          <w:sz w:val="20"/>
          <w:szCs w:val="20"/>
          <w:lang w:val="en-US" w:eastAsia="en-US" w:bidi="fa-IR"/>
        </w:rPr>
        <w:t>Malthus</w:t>
      </w:r>
      <w:r w:rsidR="009A5719" w:rsidRPr="00781F4C">
        <w:rPr>
          <w:rFonts w:eastAsia="Calibri" w:cs="B Nazanin"/>
          <w:sz w:val="20"/>
          <w:szCs w:val="20"/>
          <w:lang w:val="en-US" w:eastAsia="en-US" w:bidi="fa-IR"/>
        </w:rPr>
        <w:t>,</w:t>
      </w:r>
      <w:r w:rsidR="00C11450" w:rsidRPr="00781F4C">
        <w:rPr>
          <w:rFonts w:eastAsia="Calibri" w:cs="B Nazanin"/>
          <w:sz w:val="20"/>
          <w:szCs w:val="20"/>
          <w:lang w:val="en-US" w:eastAsia="en-US" w:bidi="fa-IR"/>
        </w:rPr>
        <w:t xml:space="preserve"> 1803). Some theories also state that human beings are a valuable asset that is a potential source for various activities and the creation of new and advanced ideas. In addition, resource constraints are constantly changing due to advances in technology (</w:t>
      </w:r>
      <w:r w:rsidR="00EA3381" w:rsidRPr="00781F4C">
        <w:rPr>
          <w:rFonts w:eastAsia="Calibri" w:cs="B Nazanin"/>
          <w:sz w:val="20"/>
          <w:szCs w:val="20"/>
          <w:lang w:val="en-US" w:eastAsia="en-US" w:bidi="fa-IR"/>
        </w:rPr>
        <w:t>Boserup</w:t>
      </w:r>
      <w:r w:rsidR="009A5719" w:rsidRPr="00781F4C">
        <w:rPr>
          <w:rFonts w:eastAsia="Calibri" w:cs="B Nazanin"/>
          <w:sz w:val="20"/>
          <w:szCs w:val="20"/>
          <w:lang w:val="en-US" w:eastAsia="en-US" w:bidi="fa-IR"/>
        </w:rPr>
        <w:t>,</w:t>
      </w:r>
      <w:r w:rsidR="00FA4693" w:rsidRPr="00781F4C">
        <w:rPr>
          <w:rFonts w:eastAsia="Calibri" w:cs="B Nazanin"/>
          <w:sz w:val="20"/>
          <w:szCs w:val="20"/>
          <w:lang w:val="en-US" w:eastAsia="en-US" w:bidi="fa-IR"/>
        </w:rPr>
        <w:t xml:space="preserve"> 1981</w:t>
      </w:r>
      <w:r w:rsidR="00C11450" w:rsidRPr="00781F4C">
        <w:rPr>
          <w:rFonts w:eastAsia="Calibri" w:cs="B Nazanin"/>
          <w:sz w:val="20"/>
          <w:szCs w:val="20"/>
          <w:lang w:val="en-US" w:eastAsia="en-US" w:bidi="fa-IR"/>
        </w:rPr>
        <w:t xml:space="preserve">). </w:t>
      </w:r>
    </w:p>
    <w:p w14:paraId="1E702ED4" w14:textId="5429AAAB" w:rsidR="00C11450" w:rsidRPr="00781F4C" w:rsidRDefault="009A5DC4" w:rsidP="000B56C2">
      <w:pPr>
        <w:keepNext/>
        <w:spacing w:after="160" w:line="259" w:lineRule="auto"/>
        <w:ind w:firstLine="284"/>
        <w:jc w:val="both"/>
        <w:rPr>
          <w:rFonts w:eastAsia="Calibri" w:cs="B Nazanin"/>
          <w:sz w:val="20"/>
          <w:szCs w:val="20"/>
          <w:lang w:val="en-US" w:eastAsia="en-US" w:bidi="fa-IR"/>
        </w:rPr>
      </w:pPr>
      <w:r w:rsidRPr="00781F4C">
        <w:rPr>
          <w:rFonts w:asciiTheme="majorBidi" w:hAnsiTheme="majorBidi" w:cstheme="majorBidi"/>
          <w:sz w:val="20"/>
          <w:szCs w:val="20"/>
          <w:lang w:val="en-US" w:bidi="fa-IR"/>
        </w:rPr>
        <w:t>The results of different studies about the effect of population and fertility rate on the environment</w:t>
      </w:r>
      <w:r w:rsidR="008E77F7" w:rsidRPr="00781F4C">
        <w:rPr>
          <w:rFonts w:asciiTheme="majorBidi" w:hAnsiTheme="majorBidi" w:cstheme="majorBidi"/>
          <w:sz w:val="20"/>
          <w:szCs w:val="20"/>
          <w:lang w:val="en-US" w:bidi="fa-IR"/>
        </w:rPr>
        <w:t xml:space="preserve"> too</w:t>
      </w:r>
      <w:r w:rsidRPr="00781F4C">
        <w:rPr>
          <w:rFonts w:asciiTheme="majorBidi" w:hAnsiTheme="majorBidi" w:cstheme="majorBidi"/>
          <w:sz w:val="20"/>
          <w:szCs w:val="20"/>
          <w:lang w:val="en-US" w:bidi="fa-IR"/>
        </w:rPr>
        <w:t xml:space="preserve"> are different. Some studies have found a positive relationship between fertility rate and population with environmental degradation (Khan et al., 2021; </w:t>
      </w:r>
      <w:proofErr w:type="spellStart"/>
      <w:r w:rsidRPr="00781F4C">
        <w:rPr>
          <w:rFonts w:asciiTheme="majorBidi" w:hAnsiTheme="majorBidi" w:cstheme="majorBidi"/>
          <w:sz w:val="20"/>
          <w:szCs w:val="20"/>
          <w:lang w:val="en-US" w:bidi="fa-IR"/>
        </w:rPr>
        <w:t>Charfeddine</w:t>
      </w:r>
      <w:proofErr w:type="spellEnd"/>
      <w:r w:rsidRPr="00781F4C">
        <w:rPr>
          <w:rFonts w:asciiTheme="majorBidi" w:hAnsiTheme="majorBidi" w:cstheme="majorBidi"/>
          <w:sz w:val="20"/>
          <w:szCs w:val="20"/>
          <w:lang w:val="en-US" w:bidi="fa-IR"/>
        </w:rPr>
        <w:t xml:space="preserve"> and </w:t>
      </w:r>
      <w:proofErr w:type="spellStart"/>
      <w:r w:rsidRPr="00781F4C">
        <w:rPr>
          <w:rFonts w:asciiTheme="majorBidi" w:hAnsiTheme="majorBidi" w:cstheme="majorBidi"/>
          <w:sz w:val="20"/>
          <w:szCs w:val="20"/>
          <w:lang w:val="en-US" w:bidi="fa-IR"/>
        </w:rPr>
        <w:t>Mrabe</w:t>
      </w:r>
      <w:proofErr w:type="spellEnd"/>
      <w:r w:rsidRPr="00781F4C">
        <w:rPr>
          <w:rFonts w:asciiTheme="majorBidi" w:hAnsiTheme="majorBidi" w:cstheme="majorBidi"/>
          <w:sz w:val="20"/>
          <w:szCs w:val="20"/>
          <w:lang w:val="en-US" w:bidi="fa-IR"/>
        </w:rPr>
        <w:t xml:space="preserve">, 2017). These studies claim that increasing fertility rates </w:t>
      </w:r>
      <w:r w:rsidRPr="00781F4C">
        <w:rPr>
          <w:rFonts w:asciiTheme="majorBidi" w:hAnsiTheme="majorBidi" w:cstheme="majorBidi"/>
          <w:sz w:val="20"/>
          <w:szCs w:val="20"/>
          <w:lang w:val="en-US" w:bidi="fa-IR"/>
        </w:rPr>
        <w:lastRenderedPageBreak/>
        <w:t>lead to an increase in population, which leads to consuming more resources and more waste, which contributes to the deterioration of the quality of the environment</w:t>
      </w:r>
      <w:r w:rsidR="00E6574B" w:rsidRPr="00781F4C">
        <w:rPr>
          <w:rFonts w:eastAsia="Calibri" w:cs="B Nazanin"/>
          <w:sz w:val="20"/>
          <w:szCs w:val="20"/>
          <w:lang w:val="en-US" w:eastAsia="en-US" w:bidi="fa-IR"/>
        </w:rPr>
        <w:t xml:space="preserve">. </w:t>
      </w:r>
      <w:proofErr w:type="spellStart"/>
      <w:r w:rsidR="00EA3381" w:rsidRPr="00781F4C">
        <w:rPr>
          <w:rFonts w:eastAsia="Calibri" w:cs="B Nazanin"/>
          <w:sz w:val="20"/>
          <w:szCs w:val="20"/>
          <w:lang w:val="en-US" w:eastAsia="en-US" w:bidi="fa-IR"/>
        </w:rPr>
        <w:t>Charfeddine</w:t>
      </w:r>
      <w:proofErr w:type="spellEnd"/>
      <w:r w:rsidR="00EA3381" w:rsidRPr="00781F4C">
        <w:rPr>
          <w:rFonts w:eastAsia="Calibri" w:cs="B Nazanin"/>
          <w:sz w:val="20"/>
          <w:szCs w:val="20"/>
          <w:lang w:val="en-US" w:eastAsia="en-US" w:bidi="fa-IR"/>
        </w:rPr>
        <w:t xml:space="preserve"> and</w:t>
      </w:r>
      <w:r w:rsidR="00E6574B" w:rsidRPr="00781F4C">
        <w:rPr>
          <w:rFonts w:eastAsia="Calibri" w:cs="B Nazanin"/>
          <w:sz w:val="20"/>
          <w:szCs w:val="20"/>
          <w:lang w:val="en-US" w:eastAsia="en-US" w:bidi="fa-IR"/>
        </w:rPr>
        <w:t xml:space="preserve"> Mrabe</w:t>
      </w:r>
      <w:r w:rsidR="001A2129" w:rsidRPr="00781F4C">
        <w:rPr>
          <w:rFonts w:eastAsia="Calibri" w:cs="B Nazanin"/>
          <w:sz w:val="20"/>
          <w:szCs w:val="20"/>
          <w:lang w:val="en-US" w:eastAsia="en-US" w:bidi="fa-IR"/>
        </w:rPr>
        <w:t>t</w:t>
      </w:r>
      <w:r w:rsidR="00E6574B" w:rsidRPr="00781F4C">
        <w:rPr>
          <w:rFonts w:eastAsia="Calibri" w:cs="B Nazanin"/>
          <w:sz w:val="20"/>
          <w:szCs w:val="20"/>
          <w:lang w:val="en-US" w:eastAsia="en-US" w:bidi="fa-IR"/>
        </w:rPr>
        <w:t xml:space="preserve"> (2017), In a study of 15 countr</w:t>
      </w:r>
      <w:r w:rsidR="00E17FD5" w:rsidRPr="00781F4C">
        <w:rPr>
          <w:rFonts w:eastAsia="Calibri" w:cs="B Nazanin"/>
          <w:sz w:val="20"/>
          <w:szCs w:val="20"/>
          <w:lang w:val="en-US" w:eastAsia="en-US" w:bidi="fa-IR"/>
        </w:rPr>
        <w:t>ies</w:t>
      </w:r>
      <w:r w:rsidR="00E6574B" w:rsidRPr="00781F4C">
        <w:rPr>
          <w:rFonts w:eastAsia="Calibri" w:cs="B Nazanin"/>
          <w:sz w:val="20"/>
          <w:szCs w:val="20"/>
          <w:lang w:val="en-US" w:eastAsia="en-US" w:bidi="fa-IR"/>
        </w:rPr>
        <w:t xml:space="preserve"> of MENA over the period 1975-2007, it was shown that increasing fertility rates further damage the environment. Khan et al. (2021) studied the effect of population growth on environmental degradation using the GMM approach from 1971 to 2016 and found that population growth causes environmental degradation.</w:t>
      </w:r>
    </w:p>
    <w:p w14:paraId="4324E55A" w14:textId="6A92BD93" w:rsidR="00232FE4" w:rsidRPr="00781F4C" w:rsidRDefault="000B56C2" w:rsidP="000B56C2">
      <w:pPr>
        <w:keepNext/>
        <w:spacing w:after="160" w:line="259" w:lineRule="auto"/>
        <w:ind w:firstLine="284"/>
        <w:jc w:val="both"/>
        <w:rPr>
          <w:rFonts w:eastAsia="Calibri" w:cs="B Nazanin"/>
          <w:sz w:val="20"/>
          <w:szCs w:val="20"/>
          <w:lang w:val="en-US" w:eastAsia="en-US" w:bidi="fa-IR"/>
        </w:rPr>
      </w:pPr>
      <w:r w:rsidRPr="00781F4C">
        <w:rPr>
          <w:rFonts w:asciiTheme="majorBidi" w:hAnsiTheme="majorBidi" w:cstheme="majorBidi"/>
          <w:sz w:val="20"/>
          <w:szCs w:val="20"/>
          <w:lang w:val="en-US" w:bidi="fa-IR"/>
        </w:rPr>
        <w:t>Some studies have also found a negative relationship between fertility rates and environmental degradation</w:t>
      </w:r>
      <w:r w:rsidRPr="00781F4C">
        <w:rPr>
          <w:rFonts w:eastAsia="Calibri" w:cs="B Nazanin"/>
          <w:sz w:val="20"/>
          <w:szCs w:val="20"/>
          <w:lang w:val="en-US" w:eastAsia="en-US" w:bidi="fa-IR"/>
        </w:rPr>
        <w:t xml:space="preserve">. </w:t>
      </w:r>
      <w:r w:rsidR="00EA3381" w:rsidRPr="00781F4C">
        <w:rPr>
          <w:rFonts w:eastAsia="Calibri" w:cs="B Nazanin"/>
          <w:sz w:val="20"/>
          <w:szCs w:val="20"/>
          <w:lang w:val="en-US" w:eastAsia="en-US" w:bidi="fa-IR"/>
        </w:rPr>
        <w:t>Toth and</w:t>
      </w:r>
      <w:r w:rsidR="00562375" w:rsidRPr="00781F4C">
        <w:rPr>
          <w:rFonts w:eastAsia="Calibri" w:cs="B Nazanin"/>
          <w:sz w:val="20"/>
          <w:szCs w:val="20"/>
          <w:lang w:val="en-US" w:eastAsia="en-US" w:bidi="fa-IR"/>
        </w:rPr>
        <w:t xml:space="preserve"> Szigeti (2016), Showed that population growth does not cause environmental degradation, but it is the population consumption pattern of communities that harms the environment. </w:t>
      </w:r>
      <w:r w:rsidR="00EA3381" w:rsidRPr="00781F4C">
        <w:rPr>
          <w:rFonts w:eastAsia="Calibri" w:cs="B Nazanin"/>
          <w:sz w:val="20"/>
          <w:szCs w:val="20"/>
          <w:lang w:val="en-US" w:eastAsia="en-US" w:bidi="fa-IR"/>
        </w:rPr>
        <w:t>Alola et al</w:t>
      </w:r>
      <w:r w:rsidR="00562375" w:rsidRPr="00781F4C">
        <w:rPr>
          <w:rFonts w:eastAsia="Calibri" w:cs="B Nazanin"/>
          <w:sz w:val="20"/>
          <w:szCs w:val="20"/>
          <w:lang w:val="en-US" w:eastAsia="en-US" w:bidi="fa-IR"/>
        </w:rPr>
        <w:t xml:space="preserve"> (2019) analyzed the effect of fertility rate on</w:t>
      </w:r>
      <w:r w:rsidR="00C235B5" w:rsidRPr="00781F4C">
        <w:rPr>
          <w:rFonts w:eastAsia="Calibri" w:cs="B Nazanin"/>
          <w:sz w:val="20"/>
          <w:szCs w:val="20"/>
          <w:lang w:val="en-US" w:eastAsia="en-US" w:bidi="fa-IR"/>
        </w:rPr>
        <w:t xml:space="preserve"> the</w:t>
      </w:r>
      <w:r w:rsidR="00562375" w:rsidRPr="00781F4C">
        <w:rPr>
          <w:rFonts w:eastAsia="Calibri" w:cs="B Nazanin"/>
          <w:sz w:val="20"/>
          <w:szCs w:val="20"/>
          <w:lang w:val="en-US" w:eastAsia="en-US" w:bidi="fa-IR"/>
        </w:rPr>
        <w:t xml:space="preserve"> ecological footprint in a panel of 16 EU member states. Their experimental results showed that in the short run, increasing the fertility rate increases the ecological footprint, but in the long run, the fertility rate reduces the ecological footprint and reduces environmental degradation</w:t>
      </w:r>
      <w:r w:rsidR="004C3ADE">
        <w:rPr>
          <w:rFonts w:eastAsia="Calibri" w:cs="B Nazanin"/>
          <w:sz w:val="20"/>
          <w:szCs w:val="20"/>
          <w:lang w:val="en-US" w:eastAsia="en-US" w:bidi="fa-IR"/>
        </w:rPr>
        <w:t>.</w:t>
      </w:r>
    </w:p>
    <w:p w14:paraId="3F19B31E" w14:textId="25E9AA30" w:rsidR="00F0153E" w:rsidRPr="00781F4C" w:rsidRDefault="00232FE4" w:rsidP="006D2EBD">
      <w:pPr>
        <w:keepNext/>
        <w:spacing w:after="160" w:line="259" w:lineRule="auto"/>
        <w:ind w:firstLine="284"/>
        <w:jc w:val="both"/>
        <w:rPr>
          <w:rFonts w:eastAsia="Calibri" w:cs="B Nazanin"/>
          <w:sz w:val="20"/>
          <w:szCs w:val="20"/>
          <w:lang w:val="en-US" w:eastAsia="en-US" w:bidi="fa-IR"/>
        </w:rPr>
      </w:pPr>
      <w:r w:rsidRPr="00781F4C">
        <w:rPr>
          <w:rFonts w:eastAsia="Calibri" w:cs="B Nazanin"/>
          <w:sz w:val="20"/>
          <w:szCs w:val="20"/>
          <w:lang w:val="en-US" w:eastAsia="en-US" w:bidi="fa-IR"/>
        </w:rPr>
        <w:t xml:space="preserve">As noted above, most previous studies consider various indicators of trade, economic and social development to explain environmental degradation and ecological footprint. In addition, most previous studies have used </w:t>
      </w:r>
      <w:r w:rsidR="00BD7DE0" w:rsidRPr="00781F4C">
        <w:rPr>
          <w:sz w:val="20"/>
          <w:szCs w:val="20"/>
          <w:lang w:val="en-GB"/>
        </w:rPr>
        <w:t>CO</w:t>
      </w:r>
      <w:r w:rsidR="00BD7DE0" w:rsidRPr="00781F4C">
        <w:rPr>
          <w:sz w:val="20"/>
          <w:szCs w:val="20"/>
          <w:vertAlign w:val="subscript"/>
          <w:lang w:val="en-GB"/>
        </w:rPr>
        <w:t>2</w:t>
      </w:r>
      <w:r w:rsidRPr="00781F4C">
        <w:rPr>
          <w:rFonts w:eastAsia="Calibri" w:cs="B Nazanin"/>
          <w:sz w:val="20"/>
          <w:szCs w:val="20"/>
          <w:lang w:val="en-US" w:eastAsia="en-US" w:bidi="fa-IR"/>
        </w:rPr>
        <w:t xml:space="preserve"> as an indicator of environmental degradation (</w:t>
      </w:r>
      <w:r w:rsidR="00BD7DE0" w:rsidRPr="00781F4C">
        <w:rPr>
          <w:rFonts w:eastAsia="Calibri" w:cs="B Nazanin"/>
          <w:sz w:val="20"/>
          <w:szCs w:val="20"/>
          <w:lang w:val="en-US" w:eastAsia="en-US" w:bidi="fa-IR"/>
        </w:rPr>
        <w:t>Fang et al.</w:t>
      </w:r>
      <w:r w:rsidR="009A5719" w:rsidRPr="00781F4C">
        <w:rPr>
          <w:rFonts w:eastAsia="Calibri" w:cs="B Nazanin"/>
          <w:sz w:val="20"/>
          <w:szCs w:val="20"/>
          <w:lang w:val="en-US" w:eastAsia="en-US" w:bidi="fa-IR"/>
        </w:rPr>
        <w:t>,</w:t>
      </w:r>
      <w:r w:rsidR="00BD7DE0" w:rsidRPr="00781F4C">
        <w:rPr>
          <w:rFonts w:eastAsia="Calibri" w:cs="B Nazanin"/>
          <w:sz w:val="20"/>
          <w:szCs w:val="20"/>
          <w:lang w:val="en-US" w:eastAsia="en-US" w:bidi="fa-IR"/>
        </w:rPr>
        <w:t xml:space="preserve"> </w:t>
      </w:r>
      <w:r w:rsidRPr="00781F4C">
        <w:rPr>
          <w:rFonts w:eastAsia="Calibri" w:cs="B Nazanin"/>
          <w:sz w:val="20"/>
          <w:szCs w:val="20"/>
          <w:lang w:val="en-US" w:eastAsia="en-US" w:bidi="fa-IR"/>
        </w:rPr>
        <w:t>2019). Few studies have analyzed the effect of new indicators such as export quality and fertility rate on ecological footpri</w:t>
      </w:r>
      <w:r w:rsidR="006A5C17" w:rsidRPr="00781F4C">
        <w:rPr>
          <w:rFonts w:eastAsia="Calibri" w:cs="B Nazanin"/>
          <w:sz w:val="20"/>
          <w:szCs w:val="20"/>
          <w:lang w:val="en-US" w:eastAsia="en-US" w:bidi="fa-IR"/>
        </w:rPr>
        <w:t xml:space="preserve">nt. </w:t>
      </w:r>
      <w:r w:rsidR="00A05D67" w:rsidRPr="00781F4C">
        <w:rPr>
          <w:rFonts w:eastAsia="Calibri" w:cs="B Nazanin"/>
          <w:sz w:val="20"/>
          <w:szCs w:val="20"/>
          <w:lang w:val="en-US" w:eastAsia="en-US" w:bidi="fa-IR"/>
        </w:rPr>
        <w:t xml:space="preserve">In addition, there is no consensus on the impact of export quality and fertility rates on </w:t>
      </w:r>
      <w:r w:rsidR="00BD7DE0" w:rsidRPr="00781F4C">
        <w:rPr>
          <w:sz w:val="20"/>
          <w:szCs w:val="20"/>
          <w:lang w:val="en-GB"/>
        </w:rPr>
        <w:t>CO</w:t>
      </w:r>
      <w:r w:rsidR="00BD7DE0" w:rsidRPr="00781F4C">
        <w:rPr>
          <w:sz w:val="20"/>
          <w:szCs w:val="20"/>
          <w:vertAlign w:val="subscript"/>
          <w:lang w:val="en-GB"/>
        </w:rPr>
        <w:t>2</w:t>
      </w:r>
      <w:r w:rsidR="00A05D67" w:rsidRPr="00781F4C">
        <w:rPr>
          <w:rFonts w:eastAsia="Calibri" w:cs="B Nazanin"/>
          <w:sz w:val="20"/>
          <w:szCs w:val="20"/>
          <w:lang w:val="en-US" w:eastAsia="en-US" w:bidi="fa-IR"/>
        </w:rPr>
        <w:t xml:space="preserve"> emissions and ecological footprints. These different results can be considered as methods of analysis due to the use of different variables, groups of different countries or regions. </w:t>
      </w:r>
      <w:proofErr w:type="gramStart"/>
      <w:r w:rsidR="006A5C17" w:rsidRPr="00781F4C">
        <w:rPr>
          <w:rFonts w:eastAsia="Calibri" w:cs="B Nazanin"/>
          <w:sz w:val="20"/>
          <w:szCs w:val="20"/>
          <w:lang w:val="en-US" w:eastAsia="en-US" w:bidi="fa-IR"/>
        </w:rPr>
        <w:t>So</w:t>
      </w:r>
      <w:proofErr w:type="gramEnd"/>
      <w:r w:rsidR="006A5C17" w:rsidRPr="00781F4C">
        <w:rPr>
          <w:rFonts w:eastAsia="Calibri" w:cs="B Nazanin"/>
          <w:sz w:val="20"/>
          <w:szCs w:val="20"/>
          <w:lang w:val="en-US" w:eastAsia="en-US" w:bidi="fa-IR"/>
        </w:rPr>
        <w:t xml:space="preserve"> t</w:t>
      </w:r>
      <w:r w:rsidRPr="00781F4C">
        <w:rPr>
          <w:rFonts w:eastAsia="Calibri" w:cs="B Nazanin"/>
          <w:sz w:val="20"/>
          <w:szCs w:val="20"/>
          <w:lang w:val="en-US" w:eastAsia="en-US" w:bidi="fa-IR"/>
        </w:rPr>
        <w:t>his study complements previous studies to examine the effect of export quality and fertility rates on</w:t>
      </w:r>
      <w:r w:rsidR="00D91F6F" w:rsidRPr="00781F4C">
        <w:rPr>
          <w:rFonts w:eastAsia="Calibri" w:cs="B Nazanin"/>
          <w:sz w:val="20"/>
          <w:szCs w:val="20"/>
          <w:lang w:val="en-US" w:eastAsia="en-US" w:bidi="fa-IR"/>
        </w:rPr>
        <w:t xml:space="preserve"> the</w:t>
      </w:r>
      <w:r w:rsidRPr="00781F4C">
        <w:rPr>
          <w:rFonts w:eastAsia="Calibri" w:cs="B Nazanin"/>
          <w:sz w:val="20"/>
          <w:szCs w:val="20"/>
          <w:lang w:val="en-US" w:eastAsia="en-US" w:bidi="fa-IR"/>
        </w:rPr>
        <w:t xml:space="preserve"> ecological footprint in a group of developing countries.</w:t>
      </w:r>
      <w:r w:rsidR="00A05D67" w:rsidRPr="00781F4C">
        <w:rPr>
          <w:rFonts w:eastAsia="Calibri" w:cs="B Nazanin"/>
          <w:sz w:val="20"/>
          <w:szCs w:val="20"/>
          <w:lang w:val="en-US" w:eastAsia="en-US" w:bidi="fa-IR"/>
        </w:rPr>
        <w:t xml:space="preserve"> In the next section, we will describe the data and econometric methods used to conduct this experimental study.</w:t>
      </w:r>
    </w:p>
    <w:p w14:paraId="57F9528D" w14:textId="77777777" w:rsidR="00F0153E" w:rsidRPr="00781F4C" w:rsidRDefault="00F0153E" w:rsidP="004617C8">
      <w:pPr>
        <w:ind w:firstLine="720"/>
        <w:jc w:val="both"/>
        <w:rPr>
          <w:lang w:val="en-US"/>
        </w:rPr>
      </w:pPr>
    </w:p>
    <w:p w14:paraId="61F5D40B" w14:textId="474D46FA" w:rsidR="006E3EC8" w:rsidRPr="00781F4C" w:rsidRDefault="00C2148F" w:rsidP="00C2148F">
      <w:pPr>
        <w:keepNext/>
        <w:rPr>
          <w:b/>
          <w:bCs/>
          <w:sz w:val="22"/>
          <w:szCs w:val="22"/>
          <w:lang w:val="en-US"/>
        </w:rPr>
      </w:pPr>
      <w:r w:rsidRPr="00781F4C">
        <w:rPr>
          <w:b/>
          <w:bCs/>
          <w:sz w:val="22"/>
          <w:szCs w:val="22"/>
          <w:lang w:val="en-US"/>
        </w:rPr>
        <w:t xml:space="preserve">3. </w:t>
      </w:r>
      <w:r w:rsidR="004617C8" w:rsidRPr="00781F4C">
        <w:rPr>
          <w:b/>
          <w:bCs/>
          <w:sz w:val="22"/>
          <w:szCs w:val="22"/>
          <w:lang w:val="en-US"/>
        </w:rPr>
        <w:t>Data and Method</w:t>
      </w:r>
    </w:p>
    <w:p w14:paraId="2ED494C5" w14:textId="77777777" w:rsidR="009D639C" w:rsidRPr="00781F4C" w:rsidRDefault="009D639C" w:rsidP="008E4DFB">
      <w:pPr>
        <w:keepNext/>
        <w:jc w:val="both"/>
        <w:rPr>
          <w:lang w:val="en-US"/>
        </w:rPr>
      </w:pPr>
    </w:p>
    <w:p w14:paraId="7D53E867" w14:textId="6160933D" w:rsidR="006E4281" w:rsidRPr="00781F4C" w:rsidRDefault="006E4281" w:rsidP="006D2EBD">
      <w:pPr>
        <w:keepNext/>
        <w:spacing w:after="160" w:line="259" w:lineRule="auto"/>
        <w:ind w:firstLine="284"/>
        <w:jc w:val="both"/>
        <w:rPr>
          <w:rFonts w:eastAsia="Calibri" w:cs="B Nazanin"/>
          <w:sz w:val="20"/>
          <w:szCs w:val="20"/>
          <w:lang w:val="en-US" w:eastAsia="en-US" w:bidi="fa-IR"/>
        </w:rPr>
      </w:pPr>
      <w:bookmarkStart w:id="0" w:name="_Hlk93874188"/>
      <w:r w:rsidRPr="00781F4C">
        <w:rPr>
          <w:rFonts w:eastAsia="Calibri" w:cs="B Nazanin"/>
          <w:sz w:val="20"/>
          <w:szCs w:val="20"/>
          <w:lang w:val="en-US" w:eastAsia="en-US" w:bidi="fa-IR"/>
        </w:rPr>
        <w:t>This section includes two subsections: 3.1. database / variables, 3.2. methodological approaches used in this experimental study.</w:t>
      </w:r>
    </w:p>
    <w:bookmarkEnd w:id="0"/>
    <w:p w14:paraId="64D8892F" w14:textId="77777777" w:rsidR="009D639C" w:rsidRPr="00781F4C" w:rsidRDefault="009D639C" w:rsidP="000B3413">
      <w:pPr>
        <w:jc w:val="both"/>
        <w:rPr>
          <w:lang w:val="en-US"/>
        </w:rPr>
      </w:pPr>
    </w:p>
    <w:p w14:paraId="08AB8631" w14:textId="67621282" w:rsidR="00B13264" w:rsidRPr="00781F4C" w:rsidRDefault="00C2148F" w:rsidP="00C2148F">
      <w:pPr>
        <w:rPr>
          <w:i/>
          <w:iCs/>
          <w:sz w:val="20"/>
          <w:szCs w:val="20"/>
          <w:lang w:val="en-US"/>
        </w:rPr>
      </w:pPr>
      <w:r w:rsidRPr="00781F4C">
        <w:rPr>
          <w:i/>
          <w:iCs/>
          <w:sz w:val="20"/>
          <w:szCs w:val="20"/>
          <w:lang w:val="en-US"/>
        </w:rPr>
        <w:t xml:space="preserve">3.1. </w:t>
      </w:r>
      <w:r w:rsidR="009D639C" w:rsidRPr="00781F4C">
        <w:rPr>
          <w:i/>
          <w:iCs/>
          <w:sz w:val="20"/>
          <w:szCs w:val="20"/>
          <w:lang w:val="en-US"/>
        </w:rPr>
        <w:t>Data</w:t>
      </w:r>
    </w:p>
    <w:p w14:paraId="19E09BA0" w14:textId="3747C112" w:rsidR="008E4DFB" w:rsidRPr="00781F4C" w:rsidRDefault="009060B5" w:rsidP="006D2EBD">
      <w:pPr>
        <w:keepNext/>
        <w:spacing w:after="160" w:line="259" w:lineRule="auto"/>
        <w:ind w:firstLine="284"/>
        <w:jc w:val="both"/>
        <w:rPr>
          <w:rFonts w:eastAsia="Calibri" w:cs="B Nazanin"/>
          <w:sz w:val="20"/>
          <w:szCs w:val="20"/>
          <w:lang w:val="en-US" w:eastAsia="en-US" w:bidi="fa-IR"/>
        </w:rPr>
      </w:pPr>
      <w:r w:rsidRPr="00781F4C">
        <w:rPr>
          <w:rFonts w:eastAsia="Calibri" w:cs="B Nazanin"/>
          <w:sz w:val="20"/>
          <w:szCs w:val="20"/>
          <w:lang w:val="en-US" w:eastAsia="en-US" w:bidi="fa-IR"/>
        </w:rPr>
        <w:t xml:space="preserve">This section shows the variables used in this study. Given the availability of all available data for all countries studied, the period 1990-2014 has been selected. </w:t>
      </w:r>
      <w:r w:rsidR="002D14C9" w:rsidRPr="00781F4C">
        <w:rPr>
          <w:rFonts w:eastAsia="Calibri" w:cs="B Nazanin"/>
          <w:sz w:val="20"/>
          <w:szCs w:val="20"/>
          <w:lang w:val="en-US" w:eastAsia="en-US" w:bidi="fa-IR"/>
        </w:rPr>
        <w:t xml:space="preserve">The variables used in this study and </w:t>
      </w:r>
      <w:r w:rsidR="00473344" w:rsidRPr="00781F4C">
        <w:rPr>
          <w:rFonts w:eastAsia="Calibri" w:cs="B Nazanin"/>
          <w:sz w:val="20"/>
          <w:szCs w:val="20"/>
          <w:lang w:val="en-US" w:eastAsia="en-US" w:bidi="fa-IR"/>
        </w:rPr>
        <w:t>their sources</w:t>
      </w:r>
      <w:r w:rsidR="002D14C9" w:rsidRPr="00781F4C">
        <w:rPr>
          <w:rFonts w:eastAsia="Calibri" w:cs="B Nazanin"/>
          <w:sz w:val="20"/>
          <w:szCs w:val="20"/>
          <w:lang w:val="en-US" w:eastAsia="en-US" w:bidi="fa-IR"/>
        </w:rPr>
        <w:t xml:space="preserve"> are described in Table 1.</w:t>
      </w:r>
    </w:p>
    <w:tbl>
      <w:tblPr>
        <w:tblStyle w:val="TableGrid"/>
        <w:tblW w:w="9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4399"/>
        <w:gridCol w:w="3337"/>
      </w:tblGrid>
      <w:tr w:rsidR="005737CD" w:rsidRPr="00781F4C" w14:paraId="335A1DD8" w14:textId="77777777" w:rsidTr="009D639C">
        <w:trPr>
          <w:jc w:val="center"/>
        </w:trPr>
        <w:tc>
          <w:tcPr>
            <w:tcW w:w="9199" w:type="dxa"/>
            <w:gridSpan w:val="3"/>
            <w:tcBorders>
              <w:bottom w:val="single" w:sz="24" w:space="0" w:color="auto"/>
            </w:tcBorders>
            <w:vAlign w:val="center"/>
          </w:tcPr>
          <w:p w14:paraId="5DFC4E71" w14:textId="77777777" w:rsidR="009D639C" w:rsidRPr="00781F4C" w:rsidRDefault="00835C3E" w:rsidP="00372EF5">
            <w:pPr>
              <w:rPr>
                <w:i/>
                <w:iCs/>
                <w:sz w:val="18"/>
                <w:szCs w:val="18"/>
                <w:lang w:val="en-US"/>
              </w:rPr>
            </w:pPr>
            <w:r w:rsidRPr="00781F4C">
              <w:rPr>
                <w:i/>
                <w:iCs/>
                <w:sz w:val="18"/>
                <w:szCs w:val="18"/>
                <w:lang w:val="en-US"/>
              </w:rPr>
              <w:t>Table 1</w:t>
            </w:r>
            <w:r w:rsidR="009D639C" w:rsidRPr="00781F4C">
              <w:rPr>
                <w:i/>
                <w:iCs/>
                <w:sz w:val="18"/>
                <w:szCs w:val="18"/>
                <w:lang w:val="en-US"/>
              </w:rPr>
              <w:t xml:space="preserve">. Variable acronyms, definitions, and sources </w:t>
            </w:r>
          </w:p>
        </w:tc>
      </w:tr>
      <w:tr w:rsidR="005737CD" w:rsidRPr="00781F4C" w14:paraId="21097BAD" w14:textId="77777777" w:rsidTr="00360B60">
        <w:trPr>
          <w:jc w:val="center"/>
        </w:trPr>
        <w:tc>
          <w:tcPr>
            <w:tcW w:w="1463" w:type="dxa"/>
            <w:tcBorders>
              <w:top w:val="single" w:sz="24" w:space="0" w:color="auto"/>
              <w:bottom w:val="single" w:sz="8" w:space="0" w:color="auto"/>
            </w:tcBorders>
            <w:vAlign w:val="center"/>
          </w:tcPr>
          <w:p w14:paraId="2337A450" w14:textId="77777777" w:rsidR="009D639C" w:rsidRPr="00781F4C" w:rsidRDefault="009D639C" w:rsidP="00372EF5">
            <w:pPr>
              <w:jc w:val="center"/>
              <w:rPr>
                <w:i/>
                <w:iCs/>
                <w:sz w:val="16"/>
                <w:szCs w:val="16"/>
                <w:lang w:val="en-US"/>
              </w:rPr>
            </w:pPr>
            <w:r w:rsidRPr="00781F4C">
              <w:rPr>
                <w:i/>
                <w:iCs/>
                <w:sz w:val="16"/>
                <w:szCs w:val="16"/>
                <w:lang w:val="en-US"/>
              </w:rPr>
              <w:t>Abbreviation</w:t>
            </w:r>
          </w:p>
        </w:tc>
        <w:tc>
          <w:tcPr>
            <w:tcW w:w="4399" w:type="dxa"/>
            <w:tcBorders>
              <w:top w:val="single" w:sz="24" w:space="0" w:color="auto"/>
              <w:bottom w:val="single" w:sz="8" w:space="0" w:color="auto"/>
            </w:tcBorders>
            <w:vAlign w:val="center"/>
          </w:tcPr>
          <w:p w14:paraId="28A7576C" w14:textId="77777777" w:rsidR="009D639C" w:rsidRPr="00781F4C" w:rsidRDefault="009D639C" w:rsidP="00372EF5">
            <w:pPr>
              <w:jc w:val="center"/>
              <w:rPr>
                <w:i/>
                <w:iCs/>
                <w:sz w:val="16"/>
                <w:szCs w:val="16"/>
                <w:lang w:val="en-US"/>
              </w:rPr>
            </w:pPr>
            <w:r w:rsidRPr="00781F4C">
              <w:rPr>
                <w:i/>
                <w:iCs/>
                <w:sz w:val="16"/>
                <w:szCs w:val="16"/>
                <w:lang w:val="en-US"/>
              </w:rPr>
              <w:t>Variables</w:t>
            </w:r>
          </w:p>
        </w:tc>
        <w:tc>
          <w:tcPr>
            <w:tcW w:w="3337" w:type="dxa"/>
            <w:tcBorders>
              <w:top w:val="single" w:sz="24" w:space="0" w:color="auto"/>
              <w:bottom w:val="single" w:sz="8" w:space="0" w:color="auto"/>
            </w:tcBorders>
            <w:vAlign w:val="center"/>
          </w:tcPr>
          <w:p w14:paraId="36D19337" w14:textId="77777777" w:rsidR="009D639C" w:rsidRPr="00781F4C" w:rsidRDefault="009D639C" w:rsidP="00372EF5">
            <w:pPr>
              <w:jc w:val="center"/>
              <w:rPr>
                <w:i/>
                <w:iCs/>
                <w:sz w:val="16"/>
                <w:szCs w:val="16"/>
                <w:lang w:val="en-US"/>
              </w:rPr>
            </w:pPr>
            <w:r w:rsidRPr="00781F4C">
              <w:rPr>
                <w:i/>
                <w:iCs/>
                <w:sz w:val="16"/>
                <w:szCs w:val="16"/>
                <w:lang w:val="en-US"/>
              </w:rPr>
              <w:t>Sources</w:t>
            </w:r>
          </w:p>
        </w:tc>
      </w:tr>
      <w:tr w:rsidR="005737CD" w:rsidRPr="00781F4C" w14:paraId="47F800A5" w14:textId="77777777" w:rsidTr="00360B60">
        <w:trPr>
          <w:trHeight w:val="168"/>
          <w:jc w:val="center"/>
        </w:trPr>
        <w:tc>
          <w:tcPr>
            <w:tcW w:w="1463" w:type="dxa"/>
            <w:tcBorders>
              <w:top w:val="single" w:sz="8" w:space="0" w:color="auto"/>
              <w:bottom w:val="dashSmallGap" w:sz="4" w:space="0" w:color="auto"/>
            </w:tcBorders>
            <w:vAlign w:val="center"/>
          </w:tcPr>
          <w:p w14:paraId="03DA5566" w14:textId="7F337A42" w:rsidR="009D639C" w:rsidRPr="00781F4C" w:rsidRDefault="002D14C9" w:rsidP="00360B60">
            <w:pPr>
              <w:jc w:val="both"/>
              <w:rPr>
                <w:sz w:val="16"/>
                <w:szCs w:val="16"/>
                <w:lang w:val="en-US"/>
              </w:rPr>
            </w:pPr>
            <w:r w:rsidRPr="00781F4C">
              <w:rPr>
                <w:sz w:val="16"/>
                <w:szCs w:val="16"/>
                <w:lang w:val="en-US"/>
              </w:rPr>
              <w:t>EFP</w:t>
            </w:r>
          </w:p>
        </w:tc>
        <w:tc>
          <w:tcPr>
            <w:tcW w:w="4399" w:type="dxa"/>
            <w:tcBorders>
              <w:top w:val="single" w:sz="8" w:space="0" w:color="auto"/>
              <w:bottom w:val="dashSmallGap" w:sz="4" w:space="0" w:color="auto"/>
            </w:tcBorders>
            <w:vAlign w:val="center"/>
          </w:tcPr>
          <w:p w14:paraId="6A0ACA59" w14:textId="0C11B9E7" w:rsidR="009D639C" w:rsidRPr="00781F4C" w:rsidRDefault="009D639C" w:rsidP="00372EF5">
            <w:pPr>
              <w:jc w:val="both"/>
              <w:rPr>
                <w:sz w:val="16"/>
                <w:szCs w:val="16"/>
                <w:lang w:val="en-US"/>
              </w:rPr>
            </w:pPr>
            <w:r w:rsidRPr="00781F4C">
              <w:rPr>
                <w:sz w:val="16"/>
                <w:szCs w:val="16"/>
                <w:lang w:val="en-US"/>
              </w:rPr>
              <w:t>Ecological footprint (</w:t>
            </w:r>
            <w:r w:rsidR="00CF5843" w:rsidRPr="00781F4C">
              <w:rPr>
                <w:sz w:val="16"/>
                <w:szCs w:val="16"/>
                <w:lang w:val="en-US"/>
              </w:rPr>
              <w:t>i</w:t>
            </w:r>
            <w:r w:rsidRPr="00781F4C">
              <w:rPr>
                <w:sz w:val="16"/>
                <w:szCs w:val="16"/>
                <w:lang w:val="en-US"/>
              </w:rPr>
              <w:t>n global hectares</w:t>
            </w:r>
            <w:r w:rsidR="00D64E7E" w:rsidRPr="00781F4C">
              <w:rPr>
                <w:sz w:val="16"/>
                <w:szCs w:val="16"/>
                <w:lang w:val="en-US"/>
              </w:rPr>
              <w:t xml:space="preserve"> - </w:t>
            </w:r>
            <w:proofErr w:type="spellStart"/>
            <w:r w:rsidR="00D64E7E" w:rsidRPr="00781F4C">
              <w:rPr>
                <w:sz w:val="16"/>
                <w:szCs w:val="16"/>
                <w:lang w:val="en-US"/>
              </w:rPr>
              <w:t>gha</w:t>
            </w:r>
            <w:proofErr w:type="spellEnd"/>
            <w:r w:rsidRPr="00781F4C">
              <w:rPr>
                <w:sz w:val="16"/>
                <w:szCs w:val="16"/>
                <w:lang w:val="en-US"/>
              </w:rPr>
              <w:t>)</w:t>
            </w:r>
          </w:p>
        </w:tc>
        <w:tc>
          <w:tcPr>
            <w:tcW w:w="3337" w:type="dxa"/>
            <w:tcBorders>
              <w:top w:val="single" w:sz="8" w:space="0" w:color="auto"/>
              <w:bottom w:val="dashSmallGap" w:sz="4" w:space="0" w:color="auto"/>
            </w:tcBorders>
            <w:vAlign w:val="center"/>
          </w:tcPr>
          <w:p w14:paraId="3B019D30" w14:textId="77777777" w:rsidR="00A1202D" w:rsidRPr="00781F4C" w:rsidRDefault="00A1202D" w:rsidP="00372EF5">
            <w:pPr>
              <w:jc w:val="both"/>
              <w:rPr>
                <w:sz w:val="16"/>
                <w:szCs w:val="16"/>
                <w:lang w:val="en-US"/>
              </w:rPr>
            </w:pPr>
            <w:r w:rsidRPr="00781F4C">
              <w:rPr>
                <w:sz w:val="16"/>
                <w:szCs w:val="16"/>
                <w:lang w:val="en-US"/>
              </w:rPr>
              <w:t>Global Footprint Network (GFN) (2020)</w:t>
            </w:r>
          </w:p>
        </w:tc>
      </w:tr>
      <w:tr w:rsidR="00360B60" w:rsidRPr="00781F4C" w14:paraId="3DC902FC" w14:textId="77777777" w:rsidTr="00360B60">
        <w:trPr>
          <w:trHeight w:val="73"/>
          <w:jc w:val="center"/>
        </w:trPr>
        <w:tc>
          <w:tcPr>
            <w:tcW w:w="1463" w:type="dxa"/>
            <w:tcBorders>
              <w:top w:val="dashSmallGap" w:sz="4" w:space="0" w:color="auto"/>
              <w:bottom w:val="dashSmallGap" w:sz="4" w:space="0" w:color="auto"/>
            </w:tcBorders>
          </w:tcPr>
          <w:p w14:paraId="103D9B5A" w14:textId="43531CA3" w:rsidR="00360B60" w:rsidRPr="00781F4C" w:rsidRDefault="00360B60" w:rsidP="00360B60">
            <w:pPr>
              <w:jc w:val="both"/>
              <w:rPr>
                <w:sz w:val="16"/>
                <w:szCs w:val="16"/>
                <w:lang w:val="en-US"/>
              </w:rPr>
            </w:pPr>
            <w:r w:rsidRPr="00781F4C">
              <w:rPr>
                <w:sz w:val="16"/>
                <w:szCs w:val="16"/>
                <w:lang w:val="en-US"/>
              </w:rPr>
              <w:t>EQ</w:t>
            </w:r>
          </w:p>
        </w:tc>
        <w:tc>
          <w:tcPr>
            <w:tcW w:w="4399" w:type="dxa"/>
            <w:tcBorders>
              <w:top w:val="dashSmallGap" w:sz="4" w:space="0" w:color="auto"/>
              <w:bottom w:val="dashSmallGap" w:sz="4" w:space="0" w:color="auto"/>
            </w:tcBorders>
          </w:tcPr>
          <w:p w14:paraId="267D8445" w14:textId="1D0226E6" w:rsidR="00360B60" w:rsidRPr="00781F4C" w:rsidRDefault="00360B60" w:rsidP="00372EF5">
            <w:pPr>
              <w:jc w:val="both"/>
              <w:rPr>
                <w:sz w:val="16"/>
                <w:szCs w:val="16"/>
                <w:lang w:val="en-US"/>
              </w:rPr>
            </w:pPr>
            <w:r w:rsidRPr="00781F4C">
              <w:rPr>
                <w:sz w:val="16"/>
                <w:szCs w:val="16"/>
                <w:lang w:val="en-US"/>
              </w:rPr>
              <w:t>Export Quality Index</w:t>
            </w:r>
          </w:p>
        </w:tc>
        <w:tc>
          <w:tcPr>
            <w:tcW w:w="3337" w:type="dxa"/>
            <w:tcBorders>
              <w:top w:val="dashSmallGap" w:sz="4" w:space="0" w:color="auto"/>
              <w:bottom w:val="dashSmallGap" w:sz="4" w:space="0" w:color="auto"/>
            </w:tcBorders>
          </w:tcPr>
          <w:p w14:paraId="384803DD" w14:textId="321CBBE8" w:rsidR="00360B60" w:rsidRPr="00781F4C" w:rsidRDefault="00360B60" w:rsidP="00360B60">
            <w:pPr>
              <w:jc w:val="both"/>
              <w:rPr>
                <w:sz w:val="16"/>
                <w:szCs w:val="16"/>
                <w:lang w:val="en-US"/>
              </w:rPr>
            </w:pPr>
            <w:r w:rsidRPr="00781F4C">
              <w:rPr>
                <w:sz w:val="16"/>
                <w:szCs w:val="16"/>
                <w:lang w:val="en-US"/>
              </w:rPr>
              <w:t>International Monetary Fund (IMF) (2020)</w:t>
            </w:r>
          </w:p>
        </w:tc>
      </w:tr>
      <w:tr w:rsidR="00360B60" w:rsidRPr="00781F4C" w14:paraId="38C73E0C" w14:textId="77777777" w:rsidTr="00795DFD">
        <w:trPr>
          <w:trHeight w:val="156"/>
          <w:jc w:val="center"/>
        </w:trPr>
        <w:tc>
          <w:tcPr>
            <w:tcW w:w="1463" w:type="dxa"/>
            <w:tcBorders>
              <w:top w:val="dashSmallGap" w:sz="4" w:space="0" w:color="auto"/>
              <w:bottom w:val="dashSmallGap" w:sz="4" w:space="0" w:color="auto"/>
            </w:tcBorders>
          </w:tcPr>
          <w:p w14:paraId="6384653F" w14:textId="65608C13" w:rsidR="00360B60" w:rsidRPr="00781F4C" w:rsidRDefault="00360B60" w:rsidP="00091EB7">
            <w:pPr>
              <w:jc w:val="both"/>
              <w:rPr>
                <w:sz w:val="16"/>
                <w:szCs w:val="16"/>
                <w:lang w:val="en-US" w:bidi="fa-IR"/>
              </w:rPr>
            </w:pPr>
            <w:r w:rsidRPr="00781F4C">
              <w:rPr>
                <w:sz w:val="16"/>
                <w:szCs w:val="16"/>
                <w:lang w:val="en-US"/>
              </w:rPr>
              <w:t>TO</w:t>
            </w:r>
          </w:p>
        </w:tc>
        <w:tc>
          <w:tcPr>
            <w:tcW w:w="4399" w:type="dxa"/>
            <w:tcBorders>
              <w:top w:val="dashSmallGap" w:sz="4" w:space="0" w:color="auto"/>
              <w:bottom w:val="dashSmallGap" w:sz="4" w:space="0" w:color="auto"/>
            </w:tcBorders>
          </w:tcPr>
          <w:p w14:paraId="692D0AB6" w14:textId="1CB44FAF" w:rsidR="00360B60" w:rsidRPr="00781F4C" w:rsidRDefault="00360B60" w:rsidP="00091EB7">
            <w:pPr>
              <w:jc w:val="both"/>
              <w:rPr>
                <w:sz w:val="16"/>
                <w:szCs w:val="16"/>
                <w:lang w:val="en-US"/>
              </w:rPr>
            </w:pPr>
            <w:r w:rsidRPr="00781F4C">
              <w:rPr>
                <w:sz w:val="16"/>
                <w:szCs w:val="16"/>
                <w:lang w:val="en-US"/>
              </w:rPr>
              <w:t xml:space="preserve">Total economic openness = </w:t>
            </w:r>
            <w:proofErr w:type="spellStart"/>
            <w:r w:rsidRPr="00781F4C">
              <w:rPr>
                <w:sz w:val="16"/>
                <w:szCs w:val="16"/>
                <w:lang w:val="en-US"/>
              </w:rPr>
              <w:t>Import+Export</w:t>
            </w:r>
            <w:proofErr w:type="spellEnd"/>
            <w:r w:rsidRPr="00781F4C">
              <w:rPr>
                <w:sz w:val="16"/>
                <w:szCs w:val="16"/>
                <w:lang w:val="en-US"/>
              </w:rPr>
              <w:t xml:space="preserve"> (constant=2010 $)</w:t>
            </w:r>
          </w:p>
        </w:tc>
        <w:tc>
          <w:tcPr>
            <w:tcW w:w="3337" w:type="dxa"/>
            <w:tcBorders>
              <w:top w:val="dashSmallGap" w:sz="4" w:space="0" w:color="auto"/>
              <w:bottom w:val="dashSmallGap" w:sz="4" w:space="0" w:color="auto"/>
            </w:tcBorders>
          </w:tcPr>
          <w:p w14:paraId="0000C662" w14:textId="59DB3229" w:rsidR="00360B60" w:rsidRPr="00781F4C" w:rsidRDefault="00360B60" w:rsidP="00372EF5">
            <w:pPr>
              <w:jc w:val="both"/>
              <w:rPr>
                <w:sz w:val="16"/>
                <w:szCs w:val="16"/>
                <w:lang w:val="en-US"/>
              </w:rPr>
            </w:pPr>
            <w:r w:rsidRPr="00781F4C">
              <w:rPr>
                <w:sz w:val="16"/>
                <w:szCs w:val="16"/>
                <w:lang w:val="en-US"/>
              </w:rPr>
              <w:t>WBD (2020)</w:t>
            </w:r>
          </w:p>
        </w:tc>
      </w:tr>
      <w:tr w:rsidR="00360B60" w:rsidRPr="00781F4C" w14:paraId="6832F82E" w14:textId="77777777" w:rsidTr="00795DFD">
        <w:trPr>
          <w:trHeight w:val="85"/>
          <w:jc w:val="center"/>
        </w:trPr>
        <w:tc>
          <w:tcPr>
            <w:tcW w:w="1463" w:type="dxa"/>
            <w:tcBorders>
              <w:top w:val="dashSmallGap" w:sz="4" w:space="0" w:color="auto"/>
              <w:bottom w:val="dashSmallGap" w:sz="4" w:space="0" w:color="auto"/>
            </w:tcBorders>
          </w:tcPr>
          <w:p w14:paraId="4EA41EC9" w14:textId="1449B25D" w:rsidR="00360B60" w:rsidRPr="00781F4C" w:rsidRDefault="00091EB7" w:rsidP="00091EB7">
            <w:pPr>
              <w:jc w:val="both"/>
              <w:rPr>
                <w:sz w:val="16"/>
                <w:szCs w:val="16"/>
                <w:lang w:val="en-US" w:bidi="fa-IR"/>
              </w:rPr>
            </w:pPr>
            <w:r w:rsidRPr="00781F4C">
              <w:rPr>
                <w:sz w:val="16"/>
                <w:szCs w:val="16"/>
                <w:lang w:val="en-US"/>
              </w:rPr>
              <w:t>UR</w:t>
            </w:r>
          </w:p>
        </w:tc>
        <w:tc>
          <w:tcPr>
            <w:tcW w:w="4399" w:type="dxa"/>
            <w:tcBorders>
              <w:top w:val="dashSmallGap" w:sz="4" w:space="0" w:color="auto"/>
              <w:bottom w:val="dashSmallGap" w:sz="4" w:space="0" w:color="auto"/>
            </w:tcBorders>
          </w:tcPr>
          <w:p w14:paraId="093DF724" w14:textId="5C6CF949" w:rsidR="00360B60" w:rsidRPr="00781F4C" w:rsidRDefault="00360B60" w:rsidP="00091EB7">
            <w:pPr>
              <w:jc w:val="both"/>
              <w:rPr>
                <w:sz w:val="16"/>
                <w:szCs w:val="16"/>
                <w:lang w:val="en-US"/>
              </w:rPr>
            </w:pPr>
            <w:r w:rsidRPr="00781F4C">
              <w:rPr>
                <w:sz w:val="16"/>
                <w:szCs w:val="16"/>
                <w:lang w:val="en-US"/>
              </w:rPr>
              <w:t>Urban population = % of total population</w:t>
            </w:r>
          </w:p>
        </w:tc>
        <w:tc>
          <w:tcPr>
            <w:tcW w:w="3337" w:type="dxa"/>
            <w:tcBorders>
              <w:top w:val="dashSmallGap" w:sz="4" w:space="0" w:color="auto"/>
              <w:bottom w:val="dashSmallGap" w:sz="4" w:space="0" w:color="auto"/>
            </w:tcBorders>
          </w:tcPr>
          <w:p w14:paraId="293EC5B2" w14:textId="48AF0C1E" w:rsidR="00360B60" w:rsidRPr="00781F4C" w:rsidRDefault="00360B60" w:rsidP="00091EB7">
            <w:pPr>
              <w:jc w:val="both"/>
              <w:rPr>
                <w:sz w:val="16"/>
                <w:szCs w:val="16"/>
                <w:lang w:val="en-US"/>
              </w:rPr>
            </w:pPr>
            <w:r w:rsidRPr="00781F4C">
              <w:rPr>
                <w:sz w:val="16"/>
                <w:szCs w:val="16"/>
                <w:lang w:val="en-US"/>
              </w:rPr>
              <w:t>WBD (2020)</w:t>
            </w:r>
          </w:p>
        </w:tc>
      </w:tr>
      <w:tr w:rsidR="00360B60" w:rsidRPr="00781F4C" w14:paraId="367FBDC6" w14:textId="77777777" w:rsidTr="00795DFD">
        <w:trPr>
          <w:trHeight w:val="120"/>
          <w:jc w:val="center"/>
        </w:trPr>
        <w:tc>
          <w:tcPr>
            <w:tcW w:w="1463" w:type="dxa"/>
            <w:tcBorders>
              <w:top w:val="dashSmallGap" w:sz="4" w:space="0" w:color="auto"/>
              <w:bottom w:val="dashSmallGap" w:sz="4" w:space="0" w:color="auto"/>
            </w:tcBorders>
          </w:tcPr>
          <w:p w14:paraId="0667F799" w14:textId="3800FE73" w:rsidR="00360B60" w:rsidRPr="00781F4C" w:rsidRDefault="00360B60" w:rsidP="00091EB7">
            <w:pPr>
              <w:jc w:val="both"/>
              <w:rPr>
                <w:sz w:val="16"/>
                <w:szCs w:val="16"/>
                <w:lang w:val="en-US"/>
              </w:rPr>
            </w:pPr>
            <w:r w:rsidRPr="00781F4C">
              <w:rPr>
                <w:sz w:val="16"/>
                <w:szCs w:val="16"/>
                <w:lang w:val="en-US"/>
              </w:rPr>
              <w:t>GDP</w:t>
            </w:r>
          </w:p>
        </w:tc>
        <w:tc>
          <w:tcPr>
            <w:tcW w:w="4399" w:type="dxa"/>
            <w:tcBorders>
              <w:top w:val="dashSmallGap" w:sz="4" w:space="0" w:color="auto"/>
              <w:bottom w:val="dashSmallGap" w:sz="4" w:space="0" w:color="auto"/>
            </w:tcBorders>
          </w:tcPr>
          <w:p w14:paraId="5D9257DC" w14:textId="40BCC613" w:rsidR="00360B60" w:rsidRPr="00781F4C" w:rsidRDefault="00360B60" w:rsidP="00372EF5">
            <w:pPr>
              <w:jc w:val="both"/>
              <w:rPr>
                <w:sz w:val="16"/>
                <w:szCs w:val="16"/>
                <w:lang w:val="en-US"/>
              </w:rPr>
            </w:pPr>
            <w:r w:rsidRPr="00781F4C">
              <w:rPr>
                <w:sz w:val="16"/>
                <w:szCs w:val="16"/>
                <w:lang w:val="en-US"/>
              </w:rPr>
              <w:t xml:space="preserve">Gross domestic product </w:t>
            </w:r>
            <w:r w:rsidR="00091EB7" w:rsidRPr="00781F4C">
              <w:rPr>
                <w:sz w:val="16"/>
                <w:szCs w:val="16"/>
                <w:lang w:val="en-US"/>
              </w:rPr>
              <w:t xml:space="preserve">per capita </w:t>
            </w:r>
            <w:r w:rsidRPr="00781F4C">
              <w:rPr>
                <w:sz w:val="16"/>
                <w:szCs w:val="16"/>
                <w:lang w:val="en-US"/>
              </w:rPr>
              <w:t>(GDP) (constant= 2010 $)</w:t>
            </w:r>
          </w:p>
        </w:tc>
        <w:tc>
          <w:tcPr>
            <w:tcW w:w="3337" w:type="dxa"/>
            <w:tcBorders>
              <w:top w:val="dashSmallGap" w:sz="4" w:space="0" w:color="auto"/>
              <w:bottom w:val="dashSmallGap" w:sz="4" w:space="0" w:color="auto"/>
            </w:tcBorders>
          </w:tcPr>
          <w:p w14:paraId="5241845D" w14:textId="3D6579C3" w:rsidR="00360B60" w:rsidRPr="00781F4C" w:rsidRDefault="00360B60" w:rsidP="00372EF5">
            <w:pPr>
              <w:jc w:val="both"/>
              <w:rPr>
                <w:sz w:val="16"/>
                <w:szCs w:val="16"/>
                <w:lang w:val="en-US"/>
              </w:rPr>
            </w:pPr>
            <w:r w:rsidRPr="00781F4C">
              <w:rPr>
                <w:sz w:val="16"/>
                <w:szCs w:val="16"/>
                <w:lang w:val="en-US"/>
              </w:rPr>
              <w:t>World Bank Data (WBD) (2020)</w:t>
            </w:r>
          </w:p>
        </w:tc>
      </w:tr>
      <w:tr w:rsidR="005737CD" w:rsidRPr="00781F4C" w14:paraId="59CC9A40" w14:textId="77777777" w:rsidTr="00360B60">
        <w:trPr>
          <w:trHeight w:val="132"/>
          <w:jc w:val="center"/>
        </w:trPr>
        <w:tc>
          <w:tcPr>
            <w:tcW w:w="1463" w:type="dxa"/>
            <w:tcBorders>
              <w:top w:val="dashSmallGap" w:sz="4" w:space="0" w:color="auto"/>
              <w:bottom w:val="single" w:sz="24" w:space="0" w:color="auto"/>
            </w:tcBorders>
            <w:vAlign w:val="center"/>
          </w:tcPr>
          <w:p w14:paraId="68AC84C0" w14:textId="3B6F86D9" w:rsidR="009D639C" w:rsidRPr="00781F4C" w:rsidRDefault="00360B60" w:rsidP="00091EB7">
            <w:pPr>
              <w:jc w:val="both"/>
              <w:rPr>
                <w:sz w:val="16"/>
                <w:szCs w:val="16"/>
                <w:lang w:val="en-US"/>
              </w:rPr>
            </w:pPr>
            <w:r w:rsidRPr="00781F4C">
              <w:rPr>
                <w:sz w:val="16"/>
                <w:szCs w:val="16"/>
                <w:lang w:val="en-US"/>
              </w:rPr>
              <w:t>FR</w:t>
            </w:r>
          </w:p>
        </w:tc>
        <w:tc>
          <w:tcPr>
            <w:tcW w:w="4399" w:type="dxa"/>
            <w:tcBorders>
              <w:top w:val="dashSmallGap" w:sz="4" w:space="0" w:color="auto"/>
              <w:bottom w:val="single" w:sz="24" w:space="0" w:color="auto"/>
            </w:tcBorders>
            <w:vAlign w:val="center"/>
          </w:tcPr>
          <w:p w14:paraId="3D6DA379" w14:textId="1BAAB1AF" w:rsidR="009D639C" w:rsidRPr="00781F4C" w:rsidRDefault="0035351E" w:rsidP="00091EB7">
            <w:pPr>
              <w:jc w:val="both"/>
              <w:rPr>
                <w:sz w:val="16"/>
                <w:szCs w:val="16"/>
                <w:lang w:val="en-US"/>
              </w:rPr>
            </w:pPr>
            <w:bookmarkStart w:id="1" w:name="_Hlk71043527"/>
            <w:r w:rsidRPr="00781F4C">
              <w:rPr>
                <w:sz w:val="16"/>
                <w:szCs w:val="16"/>
                <w:lang w:val="en-US"/>
              </w:rPr>
              <w:t>Fertility rate</w:t>
            </w:r>
            <w:bookmarkEnd w:id="1"/>
            <w:r w:rsidRPr="00781F4C">
              <w:rPr>
                <w:sz w:val="16"/>
                <w:szCs w:val="16"/>
                <w:lang w:val="en-US"/>
              </w:rPr>
              <w:t>, total (births per woman)</w:t>
            </w:r>
          </w:p>
        </w:tc>
        <w:tc>
          <w:tcPr>
            <w:tcW w:w="3337" w:type="dxa"/>
            <w:tcBorders>
              <w:top w:val="dashSmallGap" w:sz="4" w:space="0" w:color="auto"/>
              <w:bottom w:val="single" w:sz="24" w:space="0" w:color="auto"/>
            </w:tcBorders>
            <w:vAlign w:val="center"/>
          </w:tcPr>
          <w:p w14:paraId="32253E1D" w14:textId="77777777" w:rsidR="009D639C" w:rsidRPr="00781F4C" w:rsidRDefault="009D639C" w:rsidP="00372EF5">
            <w:pPr>
              <w:jc w:val="both"/>
              <w:rPr>
                <w:sz w:val="16"/>
                <w:szCs w:val="16"/>
                <w:lang w:val="en-US"/>
              </w:rPr>
            </w:pPr>
            <w:r w:rsidRPr="00781F4C">
              <w:rPr>
                <w:sz w:val="16"/>
                <w:szCs w:val="16"/>
                <w:lang w:val="en-US"/>
              </w:rPr>
              <w:t>WBD (2020)</w:t>
            </w:r>
          </w:p>
        </w:tc>
      </w:tr>
      <w:tr w:rsidR="005737CD" w:rsidRPr="00781F4C" w14:paraId="40BDE834" w14:textId="77777777" w:rsidTr="009D639C">
        <w:trPr>
          <w:trHeight w:val="132"/>
          <w:jc w:val="center"/>
        </w:trPr>
        <w:tc>
          <w:tcPr>
            <w:tcW w:w="9199" w:type="dxa"/>
            <w:gridSpan w:val="3"/>
            <w:tcBorders>
              <w:top w:val="single" w:sz="24" w:space="0" w:color="auto"/>
            </w:tcBorders>
            <w:vAlign w:val="center"/>
          </w:tcPr>
          <w:p w14:paraId="1946808A" w14:textId="1D823FEC" w:rsidR="009D639C" w:rsidRPr="00781F4C" w:rsidRDefault="009D639C" w:rsidP="00FD0BC4">
            <w:pPr>
              <w:jc w:val="both"/>
              <w:rPr>
                <w:sz w:val="16"/>
                <w:szCs w:val="16"/>
                <w:lang w:val="en-US"/>
              </w:rPr>
            </w:pPr>
            <w:r w:rsidRPr="00781F4C">
              <w:rPr>
                <w:rFonts w:asciiTheme="majorBidi" w:hAnsiTheme="majorBidi" w:cstheme="majorBidi"/>
                <w:sz w:val="16"/>
                <w:szCs w:val="16"/>
                <w:lang w:val="en-US"/>
              </w:rPr>
              <w:t>Notes:</w:t>
            </w:r>
            <w:r w:rsidRPr="00781F4C">
              <w:rPr>
                <w:rFonts w:eastAsia="Calibri"/>
                <w:sz w:val="16"/>
                <w:szCs w:val="16"/>
                <w:lang w:val="en-US"/>
              </w:rPr>
              <w:t xml:space="preserve"> </w:t>
            </w:r>
            <w:r w:rsidR="000B3413" w:rsidRPr="00781F4C">
              <w:rPr>
                <w:rFonts w:asciiTheme="majorBidi" w:hAnsiTheme="majorBidi" w:cstheme="majorBidi"/>
                <w:sz w:val="16"/>
                <w:szCs w:val="16"/>
                <w:lang w:val="en-US" w:bidi="fa-IR"/>
              </w:rPr>
              <w:t>All</w:t>
            </w:r>
            <w:r w:rsidR="00845794" w:rsidRPr="00781F4C">
              <w:rPr>
                <w:rFonts w:asciiTheme="majorBidi" w:hAnsiTheme="majorBidi" w:cstheme="majorBidi"/>
                <w:sz w:val="16"/>
                <w:szCs w:val="16"/>
                <w:lang w:val="en-US" w:bidi="fa-IR"/>
              </w:rPr>
              <w:t xml:space="preserve"> data are annual over the period from 1990 to 2014</w:t>
            </w:r>
            <w:r w:rsidR="00845794" w:rsidRPr="00781F4C">
              <w:rPr>
                <w:rFonts w:eastAsia="Calibri"/>
                <w:sz w:val="16"/>
                <w:szCs w:val="16"/>
                <w:lang w:val="en-US"/>
              </w:rPr>
              <w:t>;</w:t>
            </w:r>
            <w:r w:rsidRPr="00781F4C">
              <w:rPr>
                <w:rFonts w:eastAsia="Calibri"/>
                <w:sz w:val="16"/>
                <w:szCs w:val="16"/>
                <w:lang w:val="en-US"/>
              </w:rPr>
              <w:t xml:space="preserve"> th</w:t>
            </w:r>
            <w:r w:rsidR="008E4DFB" w:rsidRPr="00781F4C">
              <w:rPr>
                <w:rFonts w:eastAsia="Calibri"/>
                <w:sz w:val="16"/>
                <w:szCs w:val="16"/>
                <w:lang w:val="en-US"/>
              </w:rPr>
              <w:t>e authors created this table</w:t>
            </w:r>
            <w:r w:rsidRPr="00781F4C">
              <w:rPr>
                <w:rFonts w:eastAsia="Calibri"/>
                <w:sz w:val="16"/>
                <w:szCs w:val="16"/>
                <w:lang w:val="en-US"/>
              </w:rPr>
              <w:t>.</w:t>
            </w:r>
          </w:p>
        </w:tc>
      </w:tr>
    </w:tbl>
    <w:p w14:paraId="5081E3F6" w14:textId="38926C3F" w:rsidR="009D639C" w:rsidRPr="00781F4C" w:rsidRDefault="009D639C" w:rsidP="009D639C">
      <w:pPr>
        <w:jc w:val="both"/>
        <w:rPr>
          <w:sz w:val="20"/>
          <w:szCs w:val="20"/>
          <w:lang w:val="en-US"/>
        </w:rPr>
      </w:pPr>
    </w:p>
    <w:p w14:paraId="6F1DF0A4" w14:textId="2F9FEE89" w:rsidR="000D6721" w:rsidRPr="00781F4C" w:rsidRDefault="000D6721" w:rsidP="006D2EBD">
      <w:pPr>
        <w:ind w:firstLine="284"/>
        <w:jc w:val="both"/>
        <w:rPr>
          <w:sz w:val="20"/>
          <w:szCs w:val="20"/>
          <w:lang w:val="en-US"/>
        </w:rPr>
      </w:pPr>
      <w:r w:rsidRPr="00781F4C">
        <w:rPr>
          <w:sz w:val="20"/>
          <w:szCs w:val="20"/>
          <w:lang w:val="en-US"/>
        </w:rPr>
        <w:t>After describing the variables and their sources, we describe the statistics of the variables used in this study. In this context, Table 2 below shows the descriptive statistics of the variables.</w:t>
      </w:r>
    </w:p>
    <w:p w14:paraId="6AA5C354" w14:textId="77777777" w:rsidR="000D6721" w:rsidRPr="00781F4C" w:rsidRDefault="000D6721" w:rsidP="000D6721">
      <w:pPr>
        <w:jc w:val="both"/>
        <w:rPr>
          <w:sz w:val="20"/>
          <w:szCs w:val="20"/>
          <w:lang w:val="en-US"/>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8"/>
        <w:gridCol w:w="1558"/>
        <w:gridCol w:w="1558"/>
        <w:gridCol w:w="1558"/>
        <w:gridCol w:w="1559"/>
        <w:gridCol w:w="1559"/>
      </w:tblGrid>
      <w:tr w:rsidR="000D6721" w:rsidRPr="00781F4C" w14:paraId="581A516E" w14:textId="77777777" w:rsidTr="00CF6621">
        <w:tc>
          <w:tcPr>
            <w:tcW w:w="9100" w:type="dxa"/>
            <w:gridSpan w:val="6"/>
            <w:vAlign w:val="center"/>
          </w:tcPr>
          <w:p w14:paraId="7443622D" w14:textId="5377A1D5" w:rsidR="000D6721" w:rsidRPr="00781F4C" w:rsidRDefault="000D6721" w:rsidP="00907A28">
            <w:pPr>
              <w:tabs>
                <w:tab w:val="left" w:pos="3142"/>
              </w:tabs>
              <w:rPr>
                <w:i/>
                <w:iCs/>
                <w:sz w:val="20"/>
                <w:szCs w:val="20"/>
                <w:lang w:val="en-US"/>
              </w:rPr>
            </w:pPr>
            <w:r w:rsidRPr="00781F4C">
              <w:rPr>
                <w:i/>
                <w:iCs/>
                <w:sz w:val="18"/>
                <w:szCs w:val="18"/>
                <w:lang w:val="en-US"/>
              </w:rPr>
              <w:t>Table 2.  Descriptive statistics</w:t>
            </w:r>
          </w:p>
        </w:tc>
      </w:tr>
      <w:tr w:rsidR="000D6721" w:rsidRPr="00781F4C" w14:paraId="02C45B18" w14:textId="77777777" w:rsidTr="00CF6621">
        <w:tc>
          <w:tcPr>
            <w:tcW w:w="1308" w:type="dxa"/>
            <w:vMerge w:val="restart"/>
            <w:tcBorders>
              <w:top w:val="single" w:sz="12" w:space="0" w:color="auto"/>
            </w:tcBorders>
            <w:vAlign w:val="center"/>
          </w:tcPr>
          <w:p w14:paraId="04B2D72F" w14:textId="77777777" w:rsidR="000D6721" w:rsidRPr="00781F4C" w:rsidRDefault="000D6721" w:rsidP="00907A28">
            <w:pPr>
              <w:tabs>
                <w:tab w:val="left" w:pos="3142"/>
              </w:tabs>
              <w:jc w:val="center"/>
              <w:rPr>
                <w:i/>
                <w:iCs/>
                <w:sz w:val="16"/>
                <w:szCs w:val="16"/>
                <w:lang w:val="en-US"/>
              </w:rPr>
            </w:pPr>
            <w:r w:rsidRPr="00781F4C">
              <w:rPr>
                <w:i/>
                <w:iCs/>
                <w:sz w:val="16"/>
                <w:szCs w:val="16"/>
                <w:lang w:val="en-US"/>
              </w:rPr>
              <w:t>Variables</w:t>
            </w:r>
          </w:p>
        </w:tc>
        <w:tc>
          <w:tcPr>
            <w:tcW w:w="7792" w:type="dxa"/>
            <w:gridSpan w:val="5"/>
            <w:tcBorders>
              <w:top w:val="single" w:sz="12" w:space="0" w:color="auto"/>
            </w:tcBorders>
            <w:vAlign w:val="center"/>
          </w:tcPr>
          <w:p w14:paraId="5BF5E0F7" w14:textId="77777777" w:rsidR="000D6721" w:rsidRPr="00781F4C" w:rsidRDefault="000D6721" w:rsidP="00907A28">
            <w:pPr>
              <w:tabs>
                <w:tab w:val="left" w:pos="3142"/>
              </w:tabs>
              <w:jc w:val="center"/>
              <w:rPr>
                <w:i/>
                <w:iCs/>
                <w:sz w:val="16"/>
                <w:szCs w:val="16"/>
                <w:lang w:val="en-US"/>
              </w:rPr>
            </w:pPr>
            <w:r w:rsidRPr="00781F4C">
              <w:rPr>
                <w:i/>
                <w:iCs/>
                <w:sz w:val="16"/>
                <w:szCs w:val="16"/>
                <w:lang w:val="en-US"/>
              </w:rPr>
              <w:t>Descriptive statistics</w:t>
            </w:r>
          </w:p>
        </w:tc>
      </w:tr>
      <w:tr w:rsidR="000D6721" w:rsidRPr="00781F4C" w14:paraId="470BB25E" w14:textId="77777777" w:rsidTr="00CF6621">
        <w:tc>
          <w:tcPr>
            <w:tcW w:w="1308" w:type="dxa"/>
            <w:vMerge/>
            <w:tcBorders>
              <w:bottom w:val="single" w:sz="18" w:space="0" w:color="auto"/>
            </w:tcBorders>
            <w:vAlign w:val="center"/>
          </w:tcPr>
          <w:p w14:paraId="41E768C2" w14:textId="77777777" w:rsidR="000D6721" w:rsidRPr="00781F4C" w:rsidRDefault="000D6721" w:rsidP="00907A28">
            <w:pPr>
              <w:tabs>
                <w:tab w:val="left" w:pos="3142"/>
              </w:tabs>
              <w:rPr>
                <w:i/>
                <w:iCs/>
                <w:sz w:val="16"/>
                <w:szCs w:val="16"/>
                <w:lang w:val="en-US"/>
              </w:rPr>
            </w:pPr>
          </w:p>
        </w:tc>
        <w:tc>
          <w:tcPr>
            <w:tcW w:w="1558" w:type="dxa"/>
            <w:tcBorders>
              <w:top w:val="single" w:sz="12" w:space="0" w:color="auto"/>
              <w:bottom w:val="single" w:sz="18" w:space="0" w:color="auto"/>
            </w:tcBorders>
            <w:vAlign w:val="center"/>
          </w:tcPr>
          <w:p w14:paraId="65AAA76E" w14:textId="77777777" w:rsidR="000D6721" w:rsidRPr="00781F4C" w:rsidRDefault="000D6721" w:rsidP="00907A28">
            <w:pPr>
              <w:tabs>
                <w:tab w:val="left" w:pos="3142"/>
              </w:tabs>
              <w:jc w:val="center"/>
              <w:rPr>
                <w:i/>
                <w:iCs/>
                <w:sz w:val="16"/>
                <w:szCs w:val="16"/>
                <w:lang w:val="en-US"/>
              </w:rPr>
            </w:pPr>
            <w:r w:rsidRPr="00781F4C">
              <w:rPr>
                <w:i/>
                <w:iCs/>
                <w:sz w:val="16"/>
                <w:szCs w:val="16"/>
                <w:lang w:val="en-US"/>
              </w:rPr>
              <w:t>Obs.</w:t>
            </w:r>
          </w:p>
        </w:tc>
        <w:tc>
          <w:tcPr>
            <w:tcW w:w="1558" w:type="dxa"/>
            <w:tcBorders>
              <w:top w:val="single" w:sz="12" w:space="0" w:color="auto"/>
              <w:bottom w:val="single" w:sz="18" w:space="0" w:color="auto"/>
            </w:tcBorders>
            <w:vAlign w:val="center"/>
          </w:tcPr>
          <w:p w14:paraId="5EE60658" w14:textId="77777777" w:rsidR="000D6721" w:rsidRPr="00781F4C" w:rsidRDefault="000D6721" w:rsidP="00907A28">
            <w:pPr>
              <w:tabs>
                <w:tab w:val="left" w:pos="3142"/>
              </w:tabs>
              <w:jc w:val="center"/>
              <w:rPr>
                <w:i/>
                <w:iCs/>
                <w:sz w:val="16"/>
                <w:szCs w:val="16"/>
                <w:lang w:val="en-US"/>
              </w:rPr>
            </w:pPr>
            <w:r w:rsidRPr="00781F4C">
              <w:rPr>
                <w:i/>
                <w:iCs/>
                <w:sz w:val="16"/>
                <w:szCs w:val="16"/>
                <w:lang w:val="en-US"/>
              </w:rPr>
              <w:t>Mean</w:t>
            </w:r>
          </w:p>
        </w:tc>
        <w:tc>
          <w:tcPr>
            <w:tcW w:w="1558" w:type="dxa"/>
            <w:tcBorders>
              <w:top w:val="single" w:sz="12" w:space="0" w:color="auto"/>
              <w:bottom w:val="single" w:sz="18" w:space="0" w:color="auto"/>
            </w:tcBorders>
            <w:vAlign w:val="center"/>
          </w:tcPr>
          <w:p w14:paraId="398E4093" w14:textId="77777777" w:rsidR="000D6721" w:rsidRPr="00781F4C" w:rsidRDefault="000D6721" w:rsidP="00907A28">
            <w:pPr>
              <w:tabs>
                <w:tab w:val="left" w:pos="3142"/>
              </w:tabs>
              <w:jc w:val="center"/>
              <w:rPr>
                <w:i/>
                <w:iCs/>
                <w:sz w:val="16"/>
                <w:szCs w:val="16"/>
                <w:lang w:val="en-US"/>
              </w:rPr>
            </w:pPr>
            <w:r w:rsidRPr="00781F4C">
              <w:rPr>
                <w:i/>
                <w:iCs/>
                <w:sz w:val="16"/>
                <w:szCs w:val="16"/>
                <w:lang w:val="en-US"/>
              </w:rPr>
              <w:t>Std.-Dev.</w:t>
            </w:r>
          </w:p>
        </w:tc>
        <w:tc>
          <w:tcPr>
            <w:tcW w:w="1559" w:type="dxa"/>
            <w:tcBorders>
              <w:top w:val="single" w:sz="12" w:space="0" w:color="auto"/>
              <w:bottom w:val="single" w:sz="18" w:space="0" w:color="auto"/>
            </w:tcBorders>
            <w:vAlign w:val="center"/>
          </w:tcPr>
          <w:p w14:paraId="215022BE" w14:textId="77777777" w:rsidR="000D6721" w:rsidRPr="00781F4C" w:rsidRDefault="000D6721" w:rsidP="00907A28">
            <w:pPr>
              <w:tabs>
                <w:tab w:val="left" w:pos="3142"/>
              </w:tabs>
              <w:jc w:val="center"/>
              <w:rPr>
                <w:i/>
                <w:iCs/>
                <w:sz w:val="16"/>
                <w:szCs w:val="16"/>
                <w:lang w:val="en-US"/>
              </w:rPr>
            </w:pPr>
            <w:r w:rsidRPr="00781F4C">
              <w:rPr>
                <w:i/>
                <w:iCs/>
                <w:sz w:val="16"/>
                <w:szCs w:val="16"/>
                <w:lang w:val="en-US"/>
              </w:rPr>
              <w:t>Min.</w:t>
            </w:r>
          </w:p>
        </w:tc>
        <w:tc>
          <w:tcPr>
            <w:tcW w:w="1559" w:type="dxa"/>
            <w:tcBorders>
              <w:top w:val="single" w:sz="12" w:space="0" w:color="auto"/>
              <w:bottom w:val="single" w:sz="18" w:space="0" w:color="auto"/>
            </w:tcBorders>
            <w:vAlign w:val="center"/>
          </w:tcPr>
          <w:p w14:paraId="1A51969D" w14:textId="77777777" w:rsidR="000D6721" w:rsidRPr="00781F4C" w:rsidRDefault="000D6721" w:rsidP="00907A28">
            <w:pPr>
              <w:tabs>
                <w:tab w:val="left" w:pos="3142"/>
              </w:tabs>
              <w:jc w:val="center"/>
              <w:rPr>
                <w:i/>
                <w:iCs/>
                <w:sz w:val="16"/>
                <w:szCs w:val="16"/>
                <w:lang w:val="en-US"/>
              </w:rPr>
            </w:pPr>
            <w:r w:rsidRPr="00781F4C">
              <w:rPr>
                <w:i/>
                <w:iCs/>
                <w:sz w:val="16"/>
                <w:szCs w:val="16"/>
                <w:lang w:val="en-US"/>
              </w:rPr>
              <w:t>Max.</w:t>
            </w:r>
          </w:p>
        </w:tc>
      </w:tr>
      <w:tr w:rsidR="000D6721" w:rsidRPr="00781F4C" w14:paraId="7D515974" w14:textId="77777777" w:rsidTr="00CF6621">
        <w:tc>
          <w:tcPr>
            <w:tcW w:w="1308" w:type="dxa"/>
            <w:tcBorders>
              <w:top w:val="single" w:sz="18" w:space="0" w:color="auto"/>
            </w:tcBorders>
            <w:vAlign w:val="center"/>
          </w:tcPr>
          <w:p w14:paraId="26C695DE" w14:textId="7BEC9E1E" w:rsidR="000D6721" w:rsidRPr="00781F4C" w:rsidRDefault="000D6721" w:rsidP="00907A28">
            <w:pPr>
              <w:jc w:val="center"/>
              <w:rPr>
                <w:sz w:val="16"/>
                <w:szCs w:val="16"/>
                <w:lang w:val="en-US"/>
              </w:rPr>
            </w:pPr>
            <w:r w:rsidRPr="00781F4C">
              <w:rPr>
                <w:sz w:val="16"/>
                <w:szCs w:val="16"/>
                <w:lang w:val="en-US"/>
              </w:rPr>
              <w:t>EFP</w:t>
            </w:r>
          </w:p>
        </w:tc>
        <w:tc>
          <w:tcPr>
            <w:tcW w:w="1558" w:type="dxa"/>
            <w:tcBorders>
              <w:top w:val="nil"/>
              <w:left w:val="nil"/>
              <w:bottom w:val="nil"/>
              <w:right w:val="nil"/>
            </w:tcBorders>
            <w:shd w:val="clear" w:color="auto" w:fill="auto"/>
            <w:vAlign w:val="center"/>
          </w:tcPr>
          <w:p w14:paraId="2B7037B2" w14:textId="77777777" w:rsidR="000D6721" w:rsidRPr="00781F4C" w:rsidRDefault="000D6721" w:rsidP="00907A28">
            <w:pPr>
              <w:jc w:val="center"/>
              <w:rPr>
                <w:sz w:val="16"/>
                <w:szCs w:val="16"/>
                <w:lang w:val="en-US"/>
              </w:rPr>
            </w:pPr>
            <w:r w:rsidRPr="00781F4C">
              <w:rPr>
                <w:sz w:val="16"/>
                <w:szCs w:val="16"/>
                <w:lang w:val="en-US"/>
              </w:rPr>
              <w:t>500</w:t>
            </w:r>
          </w:p>
        </w:tc>
        <w:tc>
          <w:tcPr>
            <w:tcW w:w="1558" w:type="dxa"/>
            <w:tcBorders>
              <w:top w:val="nil"/>
              <w:left w:val="nil"/>
              <w:bottom w:val="nil"/>
              <w:right w:val="nil"/>
            </w:tcBorders>
            <w:shd w:val="clear" w:color="auto" w:fill="auto"/>
            <w:vAlign w:val="center"/>
          </w:tcPr>
          <w:p w14:paraId="0B157D89" w14:textId="77777777" w:rsidR="000D6721" w:rsidRPr="00781F4C" w:rsidRDefault="000D6721" w:rsidP="00907A28">
            <w:pPr>
              <w:jc w:val="center"/>
              <w:rPr>
                <w:sz w:val="16"/>
                <w:szCs w:val="16"/>
                <w:lang w:val="en-US"/>
              </w:rPr>
            </w:pPr>
            <w:r w:rsidRPr="00781F4C">
              <w:rPr>
                <w:sz w:val="16"/>
                <w:szCs w:val="16"/>
                <w:lang w:val="en-US"/>
              </w:rPr>
              <w:t>1.27e+08</w:t>
            </w:r>
          </w:p>
        </w:tc>
        <w:tc>
          <w:tcPr>
            <w:tcW w:w="1558" w:type="dxa"/>
            <w:tcBorders>
              <w:top w:val="nil"/>
              <w:left w:val="nil"/>
              <w:bottom w:val="nil"/>
              <w:right w:val="nil"/>
            </w:tcBorders>
            <w:shd w:val="clear" w:color="auto" w:fill="auto"/>
            <w:vAlign w:val="center"/>
          </w:tcPr>
          <w:p w14:paraId="527DAA63" w14:textId="77777777" w:rsidR="000D6721" w:rsidRPr="00781F4C" w:rsidRDefault="000D6721" w:rsidP="00907A28">
            <w:pPr>
              <w:jc w:val="center"/>
              <w:rPr>
                <w:sz w:val="16"/>
                <w:szCs w:val="16"/>
                <w:lang w:val="en-US"/>
              </w:rPr>
            </w:pPr>
            <w:r w:rsidRPr="00781F4C">
              <w:rPr>
                <w:sz w:val="16"/>
                <w:szCs w:val="16"/>
                <w:lang w:val="en-US"/>
              </w:rPr>
              <w:t>2.19e+08</w:t>
            </w:r>
          </w:p>
        </w:tc>
        <w:tc>
          <w:tcPr>
            <w:tcW w:w="1559" w:type="dxa"/>
            <w:tcBorders>
              <w:top w:val="nil"/>
              <w:left w:val="nil"/>
              <w:bottom w:val="nil"/>
              <w:right w:val="nil"/>
            </w:tcBorders>
            <w:shd w:val="clear" w:color="auto" w:fill="auto"/>
            <w:vAlign w:val="center"/>
          </w:tcPr>
          <w:p w14:paraId="39FE8BF4" w14:textId="77777777" w:rsidR="000D6721" w:rsidRPr="00781F4C" w:rsidRDefault="000D6721" w:rsidP="00907A28">
            <w:pPr>
              <w:jc w:val="center"/>
              <w:rPr>
                <w:sz w:val="16"/>
                <w:szCs w:val="16"/>
                <w:lang w:val="en-US"/>
              </w:rPr>
            </w:pPr>
            <w:r w:rsidRPr="00781F4C">
              <w:rPr>
                <w:sz w:val="16"/>
                <w:szCs w:val="16"/>
                <w:lang w:val="en-US"/>
              </w:rPr>
              <w:t>4151729</w:t>
            </w:r>
          </w:p>
        </w:tc>
        <w:tc>
          <w:tcPr>
            <w:tcW w:w="1559" w:type="dxa"/>
            <w:tcBorders>
              <w:top w:val="nil"/>
              <w:left w:val="nil"/>
              <w:bottom w:val="nil"/>
              <w:right w:val="nil"/>
            </w:tcBorders>
            <w:shd w:val="clear" w:color="auto" w:fill="auto"/>
            <w:vAlign w:val="center"/>
          </w:tcPr>
          <w:p w14:paraId="754BF05F" w14:textId="77777777" w:rsidR="000D6721" w:rsidRPr="00781F4C" w:rsidRDefault="000D6721" w:rsidP="00907A28">
            <w:pPr>
              <w:jc w:val="center"/>
              <w:rPr>
                <w:sz w:val="16"/>
                <w:szCs w:val="16"/>
                <w:lang w:val="en-US"/>
              </w:rPr>
            </w:pPr>
            <w:r w:rsidRPr="00781F4C">
              <w:rPr>
                <w:sz w:val="16"/>
                <w:szCs w:val="16"/>
                <w:lang w:val="en-US"/>
              </w:rPr>
              <w:t>1.48e+09</w:t>
            </w:r>
          </w:p>
        </w:tc>
      </w:tr>
      <w:tr w:rsidR="000D6721" w:rsidRPr="00781F4C" w14:paraId="507DBB78" w14:textId="77777777" w:rsidTr="00CF6621">
        <w:tc>
          <w:tcPr>
            <w:tcW w:w="1308" w:type="dxa"/>
            <w:vAlign w:val="center"/>
          </w:tcPr>
          <w:p w14:paraId="34E1BB8A" w14:textId="3F7AD6A4" w:rsidR="000D6721" w:rsidRPr="00781F4C" w:rsidRDefault="000D6721" w:rsidP="00907A28">
            <w:pPr>
              <w:jc w:val="center"/>
              <w:rPr>
                <w:sz w:val="16"/>
                <w:szCs w:val="16"/>
                <w:lang w:val="en-US"/>
              </w:rPr>
            </w:pPr>
            <w:r w:rsidRPr="00781F4C">
              <w:rPr>
                <w:sz w:val="16"/>
                <w:szCs w:val="16"/>
                <w:lang w:val="en-US" w:bidi="fa-IR"/>
              </w:rPr>
              <w:t>EQ</w:t>
            </w:r>
          </w:p>
        </w:tc>
        <w:tc>
          <w:tcPr>
            <w:tcW w:w="1558" w:type="dxa"/>
            <w:tcBorders>
              <w:top w:val="nil"/>
              <w:left w:val="nil"/>
              <w:bottom w:val="nil"/>
              <w:right w:val="nil"/>
            </w:tcBorders>
            <w:shd w:val="clear" w:color="auto" w:fill="auto"/>
            <w:vAlign w:val="center"/>
          </w:tcPr>
          <w:p w14:paraId="52E47579" w14:textId="77777777" w:rsidR="000D6721" w:rsidRPr="00781F4C" w:rsidRDefault="000D6721" w:rsidP="00907A28">
            <w:pPr>
              <w:jc w:val="center"/>
              <w:rPr>
                <w:sz w:val="16"/>
                <w:szCs w:val="16"/>
                <w:lang w:val="en-US"/>
              </w:rPr>
            </w:pPr>
            <w:r w:rsidRPr="00781F4C">
              <w:rPr>
                <w:sz w:val="16"/>
                <w:szCs w:val="16"/>
                <w:lang w:val="en-US"/>
              </w:rPr>
              <w:t>500</w:t>
            </w:r>
          </w:p>
        </w:tc>
        <w:tc>
          <w:tcPr>
            <w:tcW w:w="1558" w:type="dxa"/>
            <w:tcBorders>
              <w:top w:val="nil"/>
              <w:left w:val="nil"/>
              <w:bottom w:val="nil"/>
              <w:right w:val="nil"/>
            </w:tcBorders>
            <w:shd w:val="clear" w:color="auto" w:fill="auto"/>
            <w:vAlign w:val="center"/>
          </w:tcPr>
          <w:p w14:paraId="217B82B8" w14:textId="77777777" w:rsidR="000D6721" w:rsidRPr="00781F4C" w:rsidRDefault="000D6721" w:rsidP="00907A28">
            <w:pPr>
              <w:jc w:val="center"/>
              <w:rPr>
                <w:sz w:val="16"/>
                <w:szCs w:val="16"/>
                <w:lang w:val="en-US"/>
              </w:rPr>
            </w:pPr>
            <w:r w:rsidRPr="00781F4C">
              <w:rPr>
                <w:sz w:val="16"/>
                <w:szCs w:val="16"/>
                <w:lang w:val="en-US"/>
              </w:rPr>
              <w:t>0.807948</w:t>
            </w:r>
          </w:p>
        </w:tc>
        <w:tc>
          <w:tcPr>
            <w:tcW w:w="1558" w:type="dxa"/>
            <w:tcBorders>
              <w:top w:val="nil"/>
              <w:left w:val="nil"/>
              <w:bottom w:val="nil"/>
              <w:right w:val="nil"/>
            </w:tcBorders>
            <w:shd w:val="clear" w:color="auto" w:fill="auto"/>
            <w:vAlign w:val="center"/>
          </w:tcPr>
          <w:p w14:paraId="1A528591" w14:textId="77777777" w:rsidR="000D6721" w:rsidRPr="00781F4C" w:rsidRDefault="000D6721" w:rsidP="00907A28">
            <w:pPr>
              <w:jc w:val="center"/>
              <w:rPr>
                <w:sz w:val="16"/>
                <w:szCs w:val="16"/>
                <w:lang w:val="en-US"/>
              </w:rPr>
            </w:pPr>
            <w:r w:rsidRPr="00781F4C">
              <w:rPr>
                <w:sz w:val="16"/>
                <w:szCs w:val="16"/>
                <w:lang w:val="en-US"/>
              </w:rPr>
              <w:t>0.141613</w:t>
            </w:r>
          </w:p>
        </w:tc>
        <w:tc>
          <w:tcPr>
            <w:tcW w:w="1559" w:type="dxa"/>
            <w:tcBorders>
              <w:top w:val="nil"/>
              <w:left w:val="nil"/>
              <w:bottom w:val="nil"/>
              <w:right w:val="nil"/>
            </w:tcBorders>
            <w:shd w:val="clear" w:color="auto" w:fill="auto"/>
            <w:vAlign w:val="center"/>
          </w:tcPr>
          <w:p w14:paraId="6ADAD268" w14:textId="77777777" w:rsidR="000D6721" w:rsidRPr="00781F4C" w:rsidRDefault="000D6721" w:rsidP="00907A28">
            <w:pPr>
              <w:jc w:val="center"/>
              <w:rPr>
                <w:sz w:val="16"/>
                <w:szCs w:val="16"/>
                <w:lang w:val="en-US"/>
              </w:rPr>
            </w:pPr>
            <w:r w:rsidRPr="00781F4C">
              <w:rPr>
                <w:sz w:val="16"/>
                <w:szCs w:val="16"/>
                <w:lang w:val="en-US"/>
              </w:rPr>
              <w:t>0.45</w:t>
            </w:r>
          </w:p>
        </w:tc>
        <w:tc>
          <w:tcPr>
            <w:tcW w:w="1559" w:type="dxa"/>
            <w:tcBorders>
              <w:top w:val="nil"/>
              <w:left w:val="nil"/>
              <w:bottom w:val="nil"/>
              <w:right w:val="nil"/>
            </w:tcBorders>
            <w:shd w:val="clear" w:color="auto" w:fill="auto"/>
            <w:vAlign w:val="center"/>
          </w:tcPr>
          <w:p w14:paraId="67C6CB9A" w14:textId="77777777" w:rsidR="000D6721" w:rsidRPr="00781F4C" w:rsidRDefault="000D6721" w:rsidP="00907A28">
            <w:pPr>
              <w:jc w:val="center"/>
              <w:rPr>
                <w:sz w:val="16"/>
                <w:szCs w:val="16"/>
                <w:lang w:val="en-US"/>
              </w:rPr>
            </w:pPr>
            <w:r w:rsidRPr="00781F4C">
              <w:rPr>
                <w:sz w:val="16"/>
                <w:szCs w:val="16"/>
                <w:lang w:val="en-US"/>
              </w:rPr>
              <w:t>1.07</w:t>
            </w:r>
          </w:p>
        </w:tc>
      </w:tr>
      <w:tr w:rsidR="000D6721" w:rsidRPr="00781F4C" w14:paraId="1B22C7DB" w14:textId="77777777" w:rsidTr="00CF6621">
        <w:tc>
          <w:tcPr>
            <w:tcW w:w="1308" w:type="dxa"/>
            <w:vAlign w:val="center"/>
          </w:tcPr>
          <w:p w14:paraId="028DD359" w14:textId="374E7476" w:rsidR="000D6721" w:rsidRPr="00781F4C" w:rsidRDefault="000D6721" w:rsidP="00907A28">
            <w:pPr>
              <w:jc w:val="center"/>
              <w:rPr>
                <w:sz w:val="16"/>
                <w:szCs w:val="16"/>
                <w:lang w:val="en-US" w:bidi="fa-IR"/>
              </w:rPr>
            </w:pPr>
            <w:r w:rsidRPr="00781F4C">
              <w:rPr>
                <w:sz w:val="16"/>
                <w:szCs w:val="16"/>
                <w:lang w:val="en-US" w:bidi="fa-IR"/>
              </w:rPr>
              <w:t>TO</w:t>
            </w:r>
          </w:p>
        </w:tc>
        <w:tc>
          <w:tcPr>
            <w:tcW w:w="1558" w:type="dxa"/>
            <w:tcBorders>
              <w:top w:val="nil"/>
              <w:left w:val="nil"/>
              <w:bottom w:val="nil"/>
              <w:right w:val="nil"/>
            </w:tcBorders>
            <w:shd w:val="clear" w:color="auto" w:fill="auto"/>
            <w:vAlign w:val="center"/>
          </w:tcPr>
          <w:p w14:paraId="15F1AE43" w14:textId="77777777" w:rsidR="000D6721" w:rsidRPr="00781F4C" w:rsidRDefault="000D6721" w:rsidP="00907A28">
            <w:pPr>
              <w:jc w:val="center"/>
              <w:rPr>
                <w:sz w:val="16"/>
                <w:szCs w:val="16"/>
                <w:lang w:val="en-US"/>
              </w:rPr>
            </w:pPr>
            <w:r w:rsidRPr="00781F4C">
              <w:rPr>
                <w:sz w:val="16"/>
                <w:szCs w:val="16"/>
                <w:lang w:val="en-US"/>
              </w:rPr>
              <w:t>500</w:t>
            </w:r>
          </w:p>
        </w:tc>
        <w:tc>
          <w:tcPr>
            <w:tcW w:w="1558" w:type="dxa"/>
            <w:tcBorders>
              <w:top w:val="nil"/>
              <w:left w:val="nil"/>
              <w:bottom w:val="nil"/>
              <w:right w:val="nil"/>
            </w:tcBorders>
            <w:shd w:val="clear" w:color="auto" w:fill="auto"/>
            <w:vAlign w:val="center"/>
          </w:tcPr>
          <w:p w14:paraId="73B70B45" w14:textId="77777777" w:rsidR="000D6721" w:rsidRPr="00781F4C" w:rsidRDefault="000D6721" w:rsidP="00907A28">
            <w:pPr>
              <w:jc w:val="center"/>
              <w:rPr>
                <w:sz w:val="16"/>
                <w:szCs w:val="16"/>
                <w:lang w:val="en-US"/>
              </w:rPr>
            </w:pPr>
            <w:r w:rsidRPr="00781F4C">
              <w:rPr>
                <w:sz w:val="16"/>
                <w:szCs w:val="16"/>
                <w:lang w:val="en-US"/>
              </w:rPr>
              <w:t>96.892</w:t>
            </w:r>
          </w:p>
        </w:tc>
        <w:tc>
          <w:tcPr>
            <w:tcW w:w="1558" w:type="dxa"/>
            <w:tcBorders>
              <w:top w:val="nil"/>
              <w:left w:val="nil"/>
              <w:bottom w:val="nil"/>
              <w:right w:val="nil"/>
            </w:tcBorders>
            <w:shd w:val="clear" w:color="auto" w:fill="auto"/>
            <w:vAlign w:val="center"/>
          </w:tcPr>
          <w:p w14:paraId="5038391F" w14:textId="77777777" w:rsidR="000D6721" w:rsidRPr="00781F4C" w:rsidRDefault="000D6721" w:rsidP="00907A28">
            <w:pPr>
              <w:jc w:val="center"/>
              <w:rPr>
                <w:sz w:val="16"/>
                <w:szCs w:val="16"/>
                <w:lang w:val="en-US"/>
              </w:rPr>
            </w:pPr>
            <w:r w:rsidRPr="00781F4C">
              <w:rPr>
                <w:sz w:val="16"/>
                <w:szCs w:val="16"/>
                <w:lang w:val="en-US"/>
              </w:rPr>
              <w:t>74.65409</w:t>
            </w:r>
          </w:p>
        </w:tc>
        <w:tc>
          <w:tcPr>
            <w:tcW w:w="1559" w:type="dxa"/>
            <w:tcBorders>
              <w:top w:val="nil"/>
              <w:left w:val="nil"/>
              <w:bottom w:val="nil"/>
              <w:right w:val="nil"/>
            </w:tcBorders>
            <w:shd w:val="clear" w:color="auto" w:fill="auto"/>
            <w:vAlign w:val="center"/>
          </w:tcPr>
          <w:p w14:paraId="17F43933" w14:textId="77777777" w:rsidR="000D6721" w:rsidRPr="00781F4C" w:rsidRDefault="000D6721" w:rsidP="00907A28">
            <w:pPr>
              <w:jc w:val="center"/>
              <w:rPr>
                <w:sz w:val="16"/>
                <w:szCs w:val="16"/>
                <w:lang w:val="en-US"/>
              </w:rPr>
            </w:pPr>
            <w:r w:rsidRPr="00781F4C">
              <w:rPr>
                <w:sz w:val="16"/>
                <w:szCs w:val="16"/>
                <w:lang w:val="en-US"/>
              </w:rPr>
              <w:t>0.020999</w:t>
            </w:r>
          </w:p>
        </w:tc>
        <w:tc>
          <w:tcPr>
            <w:tcW w:w="1559" w:type="dxa"/>
            <w:tcBorders>
              <w:top w:val="nil"/>
              <w:left w:val="nil"/>
              <w:bottom w:val="nil"/>
              <w:right w:val="nil"/>
            </w:tcBorders>
            <w:shd w:val="clear" w:color="auto" w:fill="auto"/>
            <w:vAlign w:val="center"/>
          </w:tcPr>
          <w:p w14:paraId="0F431254" w14:textId="77777777" w:rsidR="000D6721" w:rsidRPr="00781F4C" w:rsidRDefault="000D6721" w:rsidP="00907A28">
            <w:pPr>
              <w:jc w:val="center"/>
              <w:rPr>
                <w:sz w:val="16"/>
                <w:szCs w:val="16"/>
                <w:lang w:val="en-US"/>
              </w:rPr>
            </w:pPr>
            <w:r w:rsidRPr="00781F4C">
              <w:rPr>
                <w:sz w:val="16"/>
                <w:szCs w:val="16"/>
                <w:lang w:val="en-US"/>
              </w:rPr>
              <w:t>437.3267</w:t>
            </w:r>
          </w:p>
        </w:tc>
      </w:tr>
      <w:tr w:rsidR="000D6721" w:rsidRPr="00781F4C" w14:paraId="004B85B4" w14:textId="77777777" w:rsidTr="00CF6621">
        <w:tc>
          <w:tcPr>
            <w:tcW w:w="1308" w:type="dxa"/>
            <w:vAlign w:val="center"/>
          </w:tcPr>
          <w:p w14:paraId="2059DDE6" w14:textId="77777777" w:rsidR="000D6721" w:rsidRPr="00781F4C" w:rsidRDefault="000D6721" w:rsidP="00907A28">
            <w:pPr>
              <w:jc w:val="center"/>
              <w:rPr>
                <w:sz w:val="16"/>
                <w:szCs w:val="16"/>
                <w:lang w:val="en-US" w:bidi="fa-IR"/>
              </w:rPr>
            </w:pPr>
            <w:r w:rsidRPr="00781F4C">
              <w:rPr>
                <w:sz w:val="16"/>
                <w:szCs w:val="16"/>
                <w:lang w:val="en-US" w:bidi="fa-IR"/>
              </w:rPr>
              <w:t>UR</w:t>
            </w:r>
          </w:p>
        </w:tc>
        <w:tc>
          <w:tcPr>
            <w:tcW w:w="1558" w:type="dxa"/>
            <w:tcBorders>
              <w:top w:val="nil"/>
              <w:left w:val="nil"/>
              <w:bottom w:val="nil"/>
              <w:right w:val="nil"/>
            </w:tcBorders>
            <w:shd w:val="clear" w:color="auto" w:fill="auto"/>
            <w:vAlign w:val="center"/>
          </w:tcPr>
          <w:p w14:paraId="32A28304" w14:textId="77777777" w:rsidR="000D6721" w:rsidRPr="00781F4C" w:rsidRDefault="000D6721" w:rsidP="00907A28">
            <w:pPr>
              <w:jc w:val="center"/>
              <w:rPr>
                <w:sz w:val="16"/>
                <w:szCs w:val="16"/>
                <w:lang w:val="en-US"/>
              </w:rPr>
            </w:pPr>
            <w:r w:rsidRPr="00781F4C">
              <w:rPr>
                <w:sz w:val="16"/>
                <w:szCs w:val="16"/>
                <w:lang w:val="en-US"/>
              </w:rPr>
              <w:t>500</w:t>
            </w:r>
          </w:p>
        </w:tc>
        <w:tc>
          <w:tcPr>
            <w:tcW w:w="1558" w:type="dxa"/>
            <w:tcBorders>
              <w:top w:val="nil"/>
              <w:left w:val="nil"/>
              <w:bottom w:val="nil"/>
              <w:right w:val="nil"/>
            </w:tcBorders>
            <w:shd w:val="clear" w:color="auto" w:fill="auto"/>
            <w:vAlign w:val="center"/>
          </w:tcPr>
          <w:p w14:paraId="1F890EB7" w14:textId="77777777" w:rsidR="000D6721" w:rsidRPr="00781F4C" w:rsidRDefault="000D6721" w:rsidP="00907A28">
            <w:pPr>
              <w:jc w:val="center"/>
              <w:rPr>
                <w:sz w:val="16"/>
                <w:szCs w:val="16"/>
                <w:lang w:val="en-US"/>
              </w:rPr>
            </w:pPr>
            <w:r w:rsidRPr="00781F4C">
              <w:rPr>
                <w:sz w:val="16"/>
                <w:szCs w:val="16"/>
                <w:lang w:val="en-US"/>
              </w:rPr>
              <w:t>63.55258</w:t>
            </w:r>
          </w:p>
        </w:tc>
        <w:tc>
          <w:tcPr>
            <w:tcW w:w="1558" w:type="dxa"/>
            <w:tcBorders>
              <w:top w:val="nil"/>
              <w:left w:val="nil"/>
              <w:bottom w:val="nil"/>
              <w:right w:val="nil"/>
            </w:tcBorders>
            <w:shd w:val="clear" w:color="auto" w:fill="auto"/>
            <w:vAlign w:val="center"/>
          </w:tcPr>
          <w:p w14:paraId="68064949" w14:textId="77777777" w:rsidR="000D6721" w:rsidRPr="00781F4C" w:rsidRDefault="000D6721" w:rsidP="00907A28">
            <w:pPr>
              <w:jc w:val="center"/>
              <w:rPr>
                <w:sz w:val="16"/>
                <w:szCs w:val="16"/>
                <w:lang w:val="en-US"/>
              </w:rPr>
            </w:pPr>
            <w:r w:rsidRPr="00781F4C">
              <w:rPr>
                <w:sz w:val="16"/>
                <w:szCs w:val="16"/>
                <w:lang w:val="en-US"/>
              </w:rPr>
              <w:t>25.17984</w:t>
            </w:r>
          </w:p>
        </w:tc>
        <w:tc>
          <w:tcPr>
            <w:tcW w:w="1559" w:type="dxa"/>
            <w:tcBorders>
              <w:top w:val="nil"/>
              <w:left w:val="nil"/>
              <w:bottom w:val="nil"/>
              <w:right w:val="nil"/>
            </w:tcBorders>
            <w:shd w:val="clear" w:color="auto" w:fill="auto"/>
            <w:vAlign w:val="center"/>
          </w:tcPr>
          <w:p w14:paraId="5436684F" w14:textId="77777777" w:rsidR="000D6721" w:rsidRPr="00781F4C" w:rsidRDefault="000D6721" w:rsidP="00907A28">
            <w:pPr>
              <w:jc w:val="center"/>
              <w:rPr>
                <w:sz w:val="16"/>
                <w:szCs w:val="16"/>
                <w:lang w:val="en-US"/>
              </w:rPr>
            </w:pPr>
            <w:r w:rsidRPr="00781F4C">
              <w:rPr>
                <w:sz w:val="16"/>
                <w:szCs w:val="16"/>
                <w:lang w:val="en-US"/>
              </w:rPr>
              <w:t>15.546</w:t>
            </w:r>
          </w:p>
        </w:tc>
        <w:tc>
          <w:tcPr>
            <w:tcW w:w="1559" w:type="dxa"/>
            <w:tcBorders>
              <w:top w:val="nil"/>
              <w:left w:val="nil"/>
              <w:bottom w:val="nil"/>
              <w:right w:val="nil"/>
            </w:tcBorders>
            <w:shd w:val="clear" w:color="auto" w:fill="auto"/>
            <w:vAlign w:val="center"/>
          </w:tcPr>
          <w:p w14:paraId="464C8307" w14:textId="77777777" w:rsidR="000D6721" w:rsidRPr="00781F4C" w:rsidRDefault="000D6721" w:rsidP="00907A28">
            <w:pPr>
              <w:jc w:val="center"/>
              <w:rPr>
                <w:sz w:val="16"/>
                <w:szCs w:val="16"/>
                <w:lang w:val="en-US"/>
              </w:rPr>
            </w:pPr>
            <w:r w:rsidRPr="00781F4C">
              <w:rPr>
                <w:sz w:val="16"/>
                <w:szCs w:val="16"/>
                <w:lang w:val="en-US"/>
              </w:rPr>
              <w:t>100</w:t>
            </w:r>
          </w:p>
        </w:tc>
      </w:tr>
      <w:tr w:rsidR="000D6721" w:rsidRPr="00781F4C" w14:paraId="134035C2" w14:textId="77777777" w:rsidTr="00CF6621">
        <w:trPr>
          <w:trHeight w:val="111"/>
        </w:trPr>
        <w:tc>
          <w:tcPr>
            <w:tcW w:w="1308" w:type="dxa"/>
            <w:vAlign w:val="center"/>
          </w:tcPr>
          <w:p w14:paraId="6C54FBEA" w14:textId="77777777" w:rsidR="000D6721" w:rsidRPr="00781F4C" w:rsidRDefault="000D6721" w:rsidP="00907A28">
            <w:pPr>
              <w:jc w:val="center"/>
              <w:rPr>
                <w:sz w:val="16"/>
                <w:szCs w:val="16"/>
                <w:lang w:val="en-US" w:bidi="fa-IR"/>
              </w:rPr>
            </w:pPr>
            <w:r w:rsidRPr="00781F4C">
              <w:rPr>
                <w:sz w:val="16"/>
                <w:szCs w:val="16"/>
                <w:lang w:val="en-US" w:bidi="fa-IR"/>
              </w:rPr>
              <w:t>GDP</w:t>
            </w:r>
          </w:p>
        </w:tc>
        <w:tc>
          <w:tcPr>
            <w:tcW w:w="1558" w:type="dxa"/>
            <w:tcBorders>
              <w:top w:val="nil"/>
              <w:left w:val="nil"/>
              <w:bottom w:val="nil"/>
              <w:right w:val="nil"/>
            </w:tcBorders>
            <w:shd w:val="clear" w:color="auto" w:fill="auto"/>
            <w:vAlign w:val="center"/>
          </w:tcPr>
          <w:p w14:paraId="135142B0" w14:textId="77777777" w:rsidR="000D6721" w:rsidRPr="00781F4C" w:rsidRDefault="000D6721" w:rsidP="00907A28">
            <w:pPr>
              <w:jc w:val="center"/>
              <w:rPr>
                <w:sz w:val="16"/>
                <w:szCs w:val="16"/>
                <w:lang w:val="en-US"/>
              </w:rPr>
            </w:pPr>
            <w:r w:rsidRPr="00781F4C">
              <w:rPr>
                <w:sz w:val="16"/>
                <w:szCs w:val="16"/>
                <w:lang w:val="en-US"/>
              </w:rPr>
              <w:t>500</w:t>
            </w:r>
          </w:p>
        </w:tc>
        <w:tc>
          <w:tcPr>
            <w:tcW w:w="1558" w:type="dxa"/>
            <w:tcBorders>
              <w:top w:val="nil"/>
              <w:left w:val="nil"/>
              <w:bottom w:val="nil"/>
              <w:right w:val="nil"/>
            </w:tcBorders>
            <w:shd w:val="clear" w:color="auto" w:fill="auto"/>
            <w:vAlign w:val="center"/>
          </w:tcPr>
          <w:p w14:paraId="2F781369" w14:textId="77777777" w:rsidR="000D6721" w:rsidRPr="00781F4C" w:rsidRDefault="000D6721" w:rsidP="00907A28">
            <w:pPr>
              <w:jc w:val="center"/>
              <w:rPr>
                <w:sz w:val="16"/>
                <w:szCs w:val="16"/>
                <w:lang w:val="en-US"/>
              </w:rPr>
            </w:pPr>
            <w:r w:rsidRPr="00781F4C">
              <w:rPr>
                <w:sz w:val="16"/>
                <w:szCs w:val="16"/>
                <w:lang w:val="en-US"/>
              </w:rPr>
              <w:t>14266.6</w:t>
            </w:r>
          </w:p>
        </w:tc>
        <w:tc>
          <w:tcPr>
            <w:tcW w:w="1558" w:type="dxa"/>
            <w:tcBorders>
              <w:top w:val="nil"/>
              <w:left w:val="nil"/>
              <w:bottom w:val="nil"/>
              <w:right w:val="nil"/>
            </w:tcBorders>
            <w:shd w:val="clear" w:color="auto" w:fill="auto"/>
            <w:vAlign w:val="center"/>
          </w:tcPr>
          <w:p w14:paraId="2C8D62D6" w14:textId="77777777" w:rsidR="000D6721" w:rsidRPr="00781F4C" w:rsidRDefault="000D6721" w:rsidP="00907A28">
            <w:pPr>
              <w:jc w:val="center"/>
              <w:rPr>
                <w:sz w:val="16"/>
                <w:szCs w:val="16"/>
                <w:lang w:val="en-US"/>
              </w:rPr>
            </w:pPr>
            <w:r w:rsidRPr="00781F4C">
              <w:rPr>
                <w:sz w:val="16"/>
                <w:szCs w:val="16"/>
                <w:lang w:val="en-US"/>
              </w:rPr>
              <w:t>18137.03</w:t>
            </w:r>
          </w:p>
        </w:tc>
        <w:tc>
          <w:tcPr>
            <w:tcW w:w="1559" w:type="dxa"/>
            <w:tcBorders>
              <w:top w:val="nil"/>
              <w:left w:val="nil"/>
              <w:bottom w:val="nil"/>
              <w:right w:val="nil"/>
            </w:tcBorders>
            <w:shd w:val="clear" w:color="auto" w:fill="auto"/>
            <w:vAlign w:val="center"/>
          </w:tcPr>
          <w:p w14:paraId="47156E5A" w14:textId="77777777" w:rsidR="000D6721" w:rsidRPr="00781F4C" w:rsidRDefault="000D6721" w:rsidP="00907A28">
            <w:pPr>
              <w:jc w:val="center"/>
              <w:rPr>
                <w:sz w:val="16"/>
                <w:szCs w:val="16"/>
                <w:lang w:val="en-US"/>
              </w:rPr>
            </w:pPr>
            <w:r w:rsidRPr="00781F4C">
              <w:rPr>
                <w:sz w:val="16"/>
                <w:szCs w:val="16"/>
                <w:lang w:val="en-US"/>
              </w:rPr>
              <w:t>321.2812</w:t>
            </w:r>
          </w:p>
        </w:tc>
        <w:tc>
          <w:tcPr>
            <w:tcW w:w="1559" w:type="dxa"/>
            <w:tcBorders>
              <w:top w:val="nil"/>
              <w:left w:val="nil"/>
              <w:bottom w:val="nil"/>
              <w:right w:val="nil"/>
            </w:tcBorders>
            <w:shd w:val="clear" w:color="auto" w:fill="auto"/>
            <w:vAlign w:val="center"/>
          </w:tcPr>
          <w:p w14:paraId="1C375EE5" w14:textId="77777777" w:rsidR="000D6721" w:rsidRPr="00781F4C" w:rsidRDefault="000D6721" w:rsidP="00907A28">
            <w:pPr>
              <w:jc w:val="center"/>
              <w:rPr>
                <w:sz w:val="16"/>
                <w:szCs w:val="16"/>
                <w:lang w:val="en-US"/>
              </w:rPr>
            </w:pPr>
            <w:r w:rsidRPr="00781F4C">
              <w:rPr>
                <w:sz w:val="16"/>
                <w:szCs w:val="16"/>
                <w:lang w:val="en-US"/>
              </w:rPr>
              <w:t>69679.09</w:t>
            </w:r>
          </w:p>
        </w:tc>
      </w:tr>
      <w:tr w:rsidR="000D6721" w:rsidRPr="00781F4C" w14:paraId="4734D4F1" w14:textId="77777777" w:rsidTr="00CF6621">
        <w:trPr>
          <w:trHeight w:val="175"/>
        </w:trPr>
        <w:tc>
          <w:tcPr>
            <w:tcW w:w="1308" w:type="dxa"/>
            <w:tcBorders>
              <w:bottom w:val="single" w:sz="12" w:space="0" w:color="auto"/>
            </w:tcBorders>
            <w:vAlign w:val="center"/>
          </w:tcPr>
          <w:p w14:paraId="215B20A8" w14:textId="57D6B58C" w:rsidR="000D6721" w:rsidRPr="00781F4C" w:rsidRDefault="000D6721" w:rsidP="00907A28">
            <w:pPr>
              <w:jc w:val="center"/>
              <w:rPr>
                <w:sz w:val="16"/>
                <w:szCs w:val="16"/>
                <w:lang w:val="en-US"/>
              </w:rPr>
            </w:pPr>
            <w:r w:rsidRPr="00781F4C">
              <w:rPr>
                <w:sz w:val="16"/>
                <w:szCs w:val="16"/>
                <w:lang w:val="en-US"/>
              </w:rPr>
              <w:lastRenderedPageBreak/>
              <w:t>FR</w:t>
            </w:r>
          </w:p>
        </w:tc>
        <w:tc>
          <w:tcPr>
            <w:tcW w:w="1558" w:type="dxa"/>
            <w:tcBorders>
              <w:top w:val="nil"/>
              <w:left w:val="nil"/>
              <w:bottom w:val="single" w:sz="12" w:space="0" w:color="auto"/>
              <w:right w:val="nil"/>
            </w:tcBorders>
            <w:shd w:val="clear" w:color="auto" w:fill="auto"/>
            <w:vAlign w:val="center"/>
          </w:tcPr>
          <w:p w14:paraId="400083F4" w14:textId="77777777" w:rsidR="000D6721" w:rsidRPr="00781F4C" w:rsidRDefault="000D6721" w:rsidP="00907A28">
            <w:pPr>
              <w:jc w:val="center"/>
              <w:rPr>
                <w:sz w:val="16"/>
                <w:szCs w:val="16"/>
                <w:lang w:val="en-US"/>
              </w:rPr>
            </w:pPr>
            <w:r w:rsidRPr="00781F4C">
              <w:rPr>
                <w:sz w:val="16"/>
                <w:szCs w:val="16"/>
                <w:lang w:val="en-US"/>
              </w:rPr>
              <w:t>500</w:t>
            </w:r>
          </w:p>
        </w:tc>
        <w:tc>
          <w:tcPr>
            <w:tcW w:w="1558" w:type="dxa"/>
            <w:tcBorders>
              <w:top w:val="nil"/>
              <w:left w:val="nil"/>
              <w:bottom w:val="single" w:sz="12" w:space="0" w:color="auto"/>
              <w:right w:val="nil"/>
            </w:tcBorders>
            <w:shd w:val="clear" w:color="auto" w:fill="auto"/>
            <w:vAlign w:val="center"/>
          </w:tcPr>
          <w:p w14:paraId="6ED306F2" w14:textId="77777777" w:rsidR="000D6721" w:rsidRPr="00781F4C" w:rsidRDefault="000D6721" w:rsidP="00907A28">
            <w:pPr>
              <w:jc w:val="center"/>
              <w:rPr>
                <w:sz w:val="16"/>
                <w:szCs w:val="16"/>
                <w:lang w:val="en-US"/>
              </w:rPr>
            </w:pPr>
            <w:r w:rsidRPr="00781F4C">
              <w:rPr>
                <w:sz w:val="16"/>
                <w:szCs w:val="16"/>
                <w:lang w:val="en-US"/>
              </w:rPr>
              <w:t>3.127032</w:t>
            </w:r>
          </w:p>
        </w:tc>
        <w:tc>
          <w:tcPr>
            <w:tcW w:w="1558" w:type="dxa"/>
            <w:tcBorders>
              <w:top w:val="nil"/>
              <w:left w:val="nil"/>
              <w:bottom w:val="single" w:sz="12" w:space="0" w:color="auto"/>
              <w:right w:val="nil"/>
            </w:tcBorders>
            <w:shd w:val="clear" w:color="auto" w:fill="auto"/>
            <w:vAlign w:val="center"/>
          </w:tcPr>
          <w:p w14:paraId="30BE73EA" w14:textId="77777777" w:rsidR="000D6721" w:rsidRPr="00781F4C" w:rsidRDefault="000D6721" w:rsidP="00907A28">
            <w:pPr>
              <w:jc w:val="center"/>
              <w:rPr>
                <w:sz w:val="16"/>
                <w:szCs w:val="16"/>
                <w:lang w:val="en-US"/>
              </w:rPr>
            </w:pPr>
            <w:r w:rsidRPr="00781F4C">
              <w:rPr>
                <w:sz w:val="16"/>
                <w:szCs w:val="16"/>
                <w:lang w:val="en-US"/>
              </w:rPr>
              <w:t>1.131586</w:t>
            </w:r>
          </w:p>
        </w:tc>
        <w:tc>
          <w:tcPr>
            <w:tcW w:w="1559" w:type="dxa"/>
            <w:tcBorders>
              <w:top w:val="nil"/>
              <w:left w:val="nil"/>
              <w:bottom w:val="single" w:sz="12" w:space="0" w:color="auto"/>
              <w:right w:val="nil"/>
            </w:tcBorders>
            <w:shd w:val="clear" w:color="auto" w:fill="auto"/>
            <w:vAlign w:val="center"/>
          </w:tcPr>
          <w:p w14:paraId="1571B78B" w14:textId="77777777" w:rsidR="000D6721" w:rsidRPr="00781F4C" w:rsidRDefault="000D6721" w:rsidP="00907A28">
            <w:pPr>
              <w:jc w:val="center"/>
              <w:rPr>
                <w:sz w:val="16"/>
                <w:szCs w:val="16"/>
                <w:lang w:val="en-US"/>
              </w:rPr>
            </w:pPr>
            <w:r w:rsidRPr="00781F4C">
              <w:rPr>
                <w:sz w:val="16"/>
                <w:szCs w:val="16"/>
                <w:lang w:val="en-US"/>
              </w:rPr>
              <w:t>1.15</w:t>
            </w:r>
          </w:p>
        </w:tc>
        <w:tc>
          <w:tcPr>
            <w:tcW w:w="1559" w:type="dxa"/>
            <w:tcBorders>
              <w:top w:val="nil"/>
              <w:left w:val="nil"/>
              <w:bottom w:val="single" w:sz="12" w:space="0" w:color="auto"/>
              <w:right w:val="nil"/>
            </w:tcBorders>
            <w:shd w:val="clear" w:color="auto" w:fill="auto"/>
            <w:vAlign w:val="center"/>
          </w:tcPr>
          <w:p w14:paraId="469B19AD" w14:textId="77777777" w:rsidR="000D6721" w:rsidRPr="00781F4C" w:rsidRDefault="000D6721" w:rsidP="00907A28">
            <w:pPr>
              <w:jc w:val="center"/>
              <w:rPr>
                <w:sz w:val="16"/>
                <w:szCs w:val="16"/>
                <w:lang w:val="en-US"/>
              </w:rPr>
            </w:pPr>
            <w:r w:rsidRPr="00781F4C">
              <w:rPr>
                <w:sz w:val="16"/>
                <w:szCs w:val="16"/>
                <w:lang w:val="en-US"/>
              </w:rPr>
              <w:t>7.165</w:t>
            </w:r>
          </w:p>
        </w:tc>
      </w:tr>
      <w:tr w:rsidR="000D6721" w:rsidRPr="00781F4C" w14:paraId="5814BFE7" w14:textId="77777777" w:rsidTr="00CF6621">
        <w:trPr>
          <w:trHeight w:val="231"/>
        </w:trPr>
        <w:tc>
          <w:tcPr>
            <w:tcW w:w="9100" w:type="dxa"/>
            <w:gridSpan w:val="6"/>
            <w:vAlign w:val="center"/>
          </w:tcPr>
          <w:p w14:paraId="50DA0C3F" w14:textId="77777777" w:rsidR="000D6721" w:rsidRPr="00781F4C" w:rsidRDefault="000D6721" w:rsidP="00907A28">
            <w:pPr>
              <w:tabs>
                <w:tab w:val="left" w:pos="3142"/>
              </w:tabs>
              <w:jc w:val="both"/>
              <w:rPr>
                <w:sz w:val="16"/>
                <w:szCs w:val="16"/>
                <w:lang w:val="en-US"/>
              </w:rPr>
            </w:pPr>
            <w:r w:rsidRPr="00781F4C">
              <w:rPr>
                <w:sz w:val="16"/>
                <w:szCs w:val="16"/>
                <w:lang w:val="en-US"/>
              </w:rPr>
              <w:t>Notes: Obs. is the number of observations in the model, Std.-Dev. is the standard deviation, Min and Max are the minimum and maximum, respectively.</w:t>
            </w:r>
          </w:p>
        </w:tc>
      </w:tr>
    </w:tbl>
    <w:p w14:paraId="70096CF9" w14:textId="549C7707" w:rsidR="000D6721" w:rsidRPr="00781F4C" w:rsidRDefault="000D6721" w:rsidP="009D639C">
      <w:pPr>
        <w:jc w:val="both"/>
        <w:rPr>
          <w:lang w:val="en-US"/>
        </w:rPr>
      </w:pPr>
    </w:p>
    <w:p w14:paraId="644F9124" w14:textId="77777777" w:rsidR="005E3DA5" w:rsidRPr="00781F4C" w:rsidRDefault="005E3DA5" w:rsidP="009D639C">
      <w:pPr>
        <w:jc w:val="both"/>
        <w:rPr>
          <w:sz w:val="20"/>
          <w:szCs w:val="20"/>
          <w:lang w:val="en-US"/>
        </w:rPr>
      </w:pPr>
    </w:p>
    <w:p w14:paraId="49E94B87" w14:textId="2FF697A5" w:rsidR="009D639C" w:rsidRPr="00781F4C" w:rsidRDefault="00C2148F" w:rsidP="00C2148F">
      <w:pPr>
        <w:jc w:val="both"/>
        <w:rPr>
          <w:i/>
          <w:iCs/>
          <w:sz w:val="20"/>
          <w:szCs w:val="20"/>
          <w:lang w:val="en-US"/>
        </w:rPr>
      </w:pPr>
      <w:r w:rsidRPr="00781F4C">
        <w:rPr>
          <w:i/>
          <w:iCs/>
          <w:sz w:val="20"/>
          <w:szCs w:val="20"/>
          <w:lang w:val="en-US"/>
        </w:rPr>
        <w:t xml:space="preserve">3.2. </w:t>
      </w:r>
      <w:r w:rsidR="00923AE2" w:rsidRPr="00781F4C">
        <w:rPr>
          <w:i/>
          <w:iCs/>
          <w:sz w:val="20"/>
          <w:szCs w:val="20"/>
          <w:lang w:val="en-US"/>
        </w:rPr>
        <w:t>Method</w:t>
      </w:r>
      <w:r w:rsidR="009D639C" w:rsidRPr="00781F4C">
        <w:rPr>
          <w:i/>
          <w:iCs/>
          <w:sz w:val="20"/>
          <w:szCs w:val="20"/>
          <w:lang w:val="en-US"/>
        </w:rPr>
        <w:t xml:space="preserve"> approach</w:t>
      </w:r>
      <w:r w:rsidR="00C50961" w:rsidRPr="00781F4C">
        <w:rPr>
          <w:i/>
          <w:iCs/>
          <w:sz w:val="20"/>
          <w:szCs w:val="20"/>
          <w:lang w:val="en-US"/>
        </w:rPr>
        <w:t xml:space="preserve"> </w:t>
      </w:r>
    </w:p>
    <w:p w14:paraId="4CF9DA5D" w14:textId="77777777" w:rsidR="009D639C" w:rsidRPr="00781F4C" w:rsidRDefault="009D639C" w:rsidP="009D639C">
      <w:pPr>
        <w:jc w:val="both"/>
        <w:rPr>
          <w:lang w:val="en-US"/>
        </w:rPr>
      </w:pPr>
    </w:p>
    <w:p w14:paraId="77DA118E" w14:textId="37DE512B" w:rsidR="009D639C" w:rsidRPr="00781F4C" w:rsidRDefault="00F16191" w:rsidP="002C1A6B">
      <w:pPr>
        <w:ind w:firstLine="284"/>
        <w:jc w:val="both"/>
        <w:rPr>
          <w:rFonts w:eastAsia="Calibri"/>
          <w:sz w:val="20"/>
          <w:szCs w:val="20"/>
          <w:lang w:val="en-US"/>
        </w:rPr>
      </w:pPr>
      <w:r w:rsidRPr="00781F4C">
        <w:rPr>
          <w:rFonts w:eastAsia="Calibri"/>
          <w:sz w:val="20"/>
          <w:szCs w:val="20"/>
          <w:lang w:val="en-US"/>
        </w:rPr>
        <w:t>Although ordinary least squares regression is the most popular regression analysis, it sometimes performs poorly (for example, when the error distribution is abnormal, especially in distributions with long and asymmetric sequences</w:t>
      </w:r>
      <w:proofErr w:type="gramStart"/>
      <w:r w:rsidRPr="00781F4C">
        <w:rPr>
          <w:rFonts w:eastAsia="Calibri"/>
          <w:sz w:val="20"/>
          <w:szCs w:val="20"/>
          <w:lang w:val="en-US"/>
        </w:rPr>
        <w:t>).</w:t>
      </w:r>
      <w:r w:rsidR="002C1A6B" w:rsidRPr="00781F4C">
        <w:rPr>
          <w:rFonts w:eastAsia="Calibri"/>
          <w:sz w:val="20"/>
          <w:szCs w:val="20"/>
          <w:lang w:val="en-US"/>
        </w:rPr>
        <w:t>The</w:t>
      </w:r>
      <w:proofErr w:type="gramEnd"/>
      <w:r w:rsidR="002C1A6B" w:rsidRPr="00781F4C">
        <w:rPr>
          <w:rFonts w:eastAsia="Calibri"/>
          <w:sz w:val="20"/>
          <w:szCs w:val="20"/>
          <w:lang w:val="en-US"/>
        </w:rPr>
        <w:t xml:space="preserve"> quantile</w:t>
      </w:r>
      <w:r w:rsidRPr="00781F4C">
        <w:rPr>
          <w:rFonts w:eastAsia="Calibri"/>
          <w:sz w:val="20"/>
          <w:szCs w:val="20"/>
          <w:lang w:val="en-US"/>
        </w:rPr>
        <w:t xml:space="preserve"> regression, which expresses an arbitrar</w:t>
      </w:r>
      <w:r w:rsidR="008E3036" w:rsidRPr="00781F4C">
        <w:rPr>
          <w:rFonts w:eastAsia="Calibri"/>
          <w:sz w:val="20"/>
          <w:szCs w:val="20"/>
          <w:lang w:val="en-US"/>
        </w:rPr>
        <w:t>y quantile</w:t>
      </w:r>
      <w:r w:rsidRPr="00781F4C">
        <w:rPr>
          <w:rFonts w:eastAsia="Calibri"/>
          <w:sz w:val="20"/>
          <w:szCs w:val="20"/>
          <w:lang w:val="en-US"/>
        </w:rPr>
        <w:t xml:space="preserve"> relation of the dependent variable distribution to the descriptive variables, is a technique that can overcome the limitations mentioned by the </w:t>
      </w:r>
      <w:r w:rsidR="008E3036" w:rsidRPr="00781F4C">
        <w:rPr>
          <w:rFonts w:eastAsia="Calibri"/>
          <w:sz w:val="20"/>
          <w:szCs w:val="20"/>
          <w:lang w:val="en-US"/>
        </w:rPr>
        <w:t xml:space="preserve">OLS </w:t>
      </w:r>
      <w:r w:rsidRPr="00781F4C">
        <w:rPr>
          <w:rFonts w:eastAsia="Calibri"/>
          <w:sz w:val="20"/>
          <w:szCs w:val="20"/>
          <w:lang w:val="en-US"/>
        </w:rPr>
        <w:t xml:space="preserve">estimator. This model, introduced by </w:t>
      </w:r>
      <w:proofErr w:type="spellStart"/>
      <w:r w:rsidR="008E3036" w:rsidRPr="00781F4C">
        <w:rPr>
          <w:rFonts w:eastAsia="Calibri"/>
          <w:sz w:val="20"/>
          <w:szCs w:val="20"/>
          <w:lang w:val="en-US"/>
        </w:rPr>
        <w:t>Koenker</w:t>
      </w:r>
      <w:proofErr w:type="spellEnd"/>
      <w:r w:rsidR="008E3036" w:rsidRPr="00781F4C">
        <w:rPr>
          <w:rFonts w:eastAsia="Calibri"/>
          <w:sz w:val="20"/>
          <w:szCs w:val="20"/>
          <w:lang w:val="en-US"/>
        </w:rPr>
        <w:t xml:space="preserve"> and Bassett </w:t>
      </w:r>
      <w:r w:rsidRPr="00781F4C">
        <w:rPr>
          <w:rFonts w:eastAsia="Calibri"/>
          <w:sz w:val="20"/>
          <w:szCs w:val="20"/>
          <w:lang w:val="en-US"/>
        </w:rPr>
        <w:t>in 1978, gradually became a comprehensive method for statistical analysis of linear and nonlinear models of respons</w:t>
      </w:r>
      <w:r w:rsidR="00EF5F7C" w:rsidRPr="00781F4C">
        <w:rPr>
          <w:rFonts w:eastAsia="Calibri"/>
          <w:sz w:val="20"/>
          <w:szCs w:val="20"/>
          <w:lang w:val="en-US"/>
        </w:rPr>
        <w:t>e variables in different fields (</w:t>
      </w:r>
      <w:r w:rsidR="009E3274" w:rsidRPr="00781F4C">
        <w:rPr>
          <w:rFonts w:eastAsia="Calibri"/>
          <w:sz w:val="20"/>
          <w:szCs w:val="20"/>
          <w:lang w:val="en-US"/>
        </w:rPr>
        <w:t>Buhari et al.</w:t>
      </w:r>
      <w:r w:rsidR="009A5719" w:rsidRPr="00781F4C">
        <w:rPr>
          <w:rFonts w:eastAsia="Calibri"/>
          <w:sz w:val="20"/>
          <w:szCs w:val="20"/>
          <w:lang w:val="en-US"/>
        </w:rPr>
        <w:t>,</w:t>
      </w:r>
      <w:r w:rsidR="00EA3381" w:rsidRPr="00781F4C">
        <w:rPr>
          <w:rFonts w:eastAsia="Calibri"/>
          <w:sz w:val="20"/>
          <w:szCs w:val="20"/>
          <w:lang w:val="en-US"/>
        </w:rPr>
        <w:t xml:space="preserve"> 2020; Gomes and Rodriguez</w:t>
      </w:r>
      <w:r w:rsidR="009A5719" w:rsidRPr="00781F4C">
        <w:rPr>
          <w:rFonts w:eastAsia="Calibri"/>
          <w:sz w:val="20"/>
          <w:szCs w:val="20"/>
          <w:lang w:val="en-US"/>
        </w:rPr>
        <w:t>,</w:t>
      </w:r>
      <w:r w:rsidR="00EF5F7C" w:rsidRPr="00781F4C">
        <w:rPr>
          <w:rFonts w:eastAsia="Calibri"/>
          <w:sz w:val="20"/>
          <w:szCs w:val="20"/>
          <w:lang w:val="en-US"/>
        </w:rPr>
        <w:t xml:space="preserve"> 2020).</w:t>
      </w:r>
    </w:p>
    <w:p w14:paraId="75080D4B" w14:textId="66DCBF20" w:rsidR="00420344" w:rsidRPr="00781F4C" w:rsidRDefault="00420344" w:rsidP="006D2EBD">
      <w:pPr>
        <w:ind w:firstLine="284"/>
        <w:jc w:val="both"/>
        <w:rPr>
          <w:rFonts w:eastAsia="Calibri"/>
          <w:sz w:val="20"/>
          <w:szCs w:val="20"/>
          <w:rtl/>
          <w:lang w:val="en-US"/>
        </w:rPr>
      </w:pPr>
      <w:r w:rsidRPr="00781F4C">
        <w:rPr>
          <w:rFonts w:eastAsia="Calibri"/>
          <w:sz w:val="20"/>
          <w:szCs w:val="20"/>
          <w:lang w:val="en-US"/>
        </w:rPr>
        <w:t>The main motivation for using quantile regression is to provide a model with a detailed and comprehensive look at the evaluation of the dependent variable to allow the inclusion of independent variables in all parts of the distribution and not face the limitations of ordinary regression assumptions</w:t>
      </w:r>
      <w:r w:rsidRPr="00781F4C">
        <w:rPr>
          <w:rFonts w:eastAsia="Calibri"/>
          <w:sz w:val="20"/>
          <w:szCs w:val="20"/>
          <w:rtl/>
          <w:lang w:val="en-US"/>
        </w:rPr>
        <w:t>.</w:t>
      </w:r>
      <w:r w:rsidRPr="00781F4C">
        <w:t xml:space="preserve"> </w:t>
      </w:r>
      <w:r w:rsidR="009E3274" w:rsidRPr="00781F4C">
        <w:rPr>
          <w:rFonts w:eastAsia="Calibri"/>
          <w:sz w:val="20"/>
          <w:szCs w:val="20"/>
          <w:lang w:val="en-US"/>
        </w:rPr>
        <w:t>The q</w:t>
      </w:r>
      <w:r w:rsidR="0069776D" w:rsidRPr="00781F4C">
        <w:rPr>
          <w:rFonts w:eastAsia="Calibri"/>
          <w:sz w:val="20"/>
          <w:szCs w:val="20"/>
          <w:lang w:val="en-US"/>
        </w:rPr>
        <w:t>uantile</w:t>
      </w:r>
      <w:r w:rsidRPr="00781F4C">
        <w:rPr>
          <w:rFonts w:eastAsia="Calibri"/>
          <w:sz w:val="20"/>
          <w:szCs w:val="20"/>
          <w:lang w:val="en-US"/>
        </w:rPr>
        <w:t xml:space="preserve"> regression is a statistical method with the ability to calculate and plot different regression curves and correspond to different percentiles, which, while expressing a more complete and comprehensive picture of the data, the possibility of measuring the relationship between independent variables and the desired dependent variables without the need </w:t>
      </w:r>
      <w:r w:rsidR="00575D26" w:rsidRPr="00781F4C">
        <w:rPr>
          <w:rFonts w:eastAsia="Calibri"/>
          <w:sz w:val="20"/>
          <w:szCs w:val="20"/>
          <w:lang w:val="en-US"/>
        </w:rPr>
        <w:t xml:space="preserve">provides </w:t>
      </w:r>
      <w:r w:rsidRPr="00781F4C">
        <w:rPr>
          <w:rFonts w:eastAsia="Calibri"/>
          <w:sz w:val="20"/>
          <w:szCs w:val="20"/>
          <w:lang w:val="en-US"/>
        </w:rPr>
        <w:t>data normality even in the presence of remote points, meaning that this regression is str</w:t>
      </w:r>
      <w:r w:rsidR="0069776D" w:rsidRPr="00781F4C">
        <w:rPr>
          <w:rFonts w:eastAsia="Calibri"/>
          <w:sz w:val="20"/>
          <w:szCs w:val="20"/>
          <w:lang w:val="en-US"/>
        </w:rPr>
        <w:t>onger than remote data (</w:t>
      </w:r>
      <w:proofErr w:type="spellStart"/>
      <w:r w:rsidR="00CA3DDC" w:rsidRPr="00781F4C">
        <w:rPr>
          <w:rFonts w:eastAsia="Calibri"/>
          <w:sz w:val="20"/>
          <w:szCs w:val="20"/>
          <w:lang w:val="en-US"/>
        </w:rPr>
        <w:t>Koenker</w:t>
      </w:r>
      <w:proofErr w:type="spellEnd"/>
      <w:r w:rsidR="009A5719" w:rsidRPr="00781F4C">
        <w:rPr>
          <w:rFonts w:eastAsia="Calibri"/>
          <w:sz w:val="20"/>
          <w:szCs w:val="20"/>
          <w:lang w:val="en-US"/>
        </w:rPr>
        <w:t>,</w:t>
      </w:r>
      <w:r w:rsidR="0069776D" w:rsidRPr="00781F4C">
        <w:rPr>
          <w:rFonts w:eastAsia="Calibri"/>
          <w:sz w:val="20"/>
          <w:szCs w:val="20"/>
          <w:lang w:val="en-US"/>
        </w:rPr>
        <w:t xml:space="preserve"> 2004).</w:t>
      </w:r>
    </w:p>
    <w:p w14:paraId="252FCFE4" w14:textId="520A2990" w:rsidR="00B76499" w:rsidRPr="00781F4C" w:rsidRDefault="00A1202D" w:rsidP="006D2EBD">
      <w:pPr>
        <w:ind w:firstLine="284"/>
        <w:jc w:val="both"/>
        <w:rPr>
          <w:rFonts w:eastAsia="Calibri"/>
          <w:sz w:val="20"/>
          <w:szCs w:val="20"/>
          <w:lang w:val="en-US"/>
        </w:rPr>
      </w:pPr>
      <w:r w:rsidRPr="00781F4C">
        <w:rPr>
          <w:rFonts w:eastAsia="Calibri"/>
          <w:sz w:val="20"/>
          <w:szCs w:val="20"/>
          <w:lang w:val="en-US"/>
        </w:rPr>
        <w:t>Therefore, this research applies the quantile panel regression method to evaluate the e</w:t>
      </w:r>
      <w:r w:rsidR="00BF4A57" w:rsidRPr="00781F4C">
        <w:rPr>
          <w:rFonts w:eastAsia="Calibri"/>
          <w:sz w:val="20"/>
          <w:szCs w:val="20"/>
          <w:lang w:val="en-US"/>
        </w:rPr>
        <w:t>ffect of</w:t>
      </w:r>
      <w:r w:rsidRPr="00781F4C">
        <w:rPr>
          <w:rFonts w:eastAsia="Calibri"/>
          <w:sz w:val="20"/>
          <w:szCs w:val="20"/>
          <w:lang w:val="en-US"/>
        </w:rPr>
        <w:t xml:space="preserve"> export quality </w:t>
      </w:r>
      <w:r w:rsidR="00BF4A57" w:rsidRPr="00781F4C">
        <w:rPr>
          <w:rFonts w:eastAsia="Calibri"/>
          <w:sz w:val="20"/>
          <w:szCs w:val="20"/>
          <w:lang w:val="en-US"/>
        </w:rPr>
        <w:t xml:space="preserve">and fertility rate </w:t>
      </w:r>
      <w:r w:rsidRPr="00781F4C">
        <w:rPr>
          <w:rFonts w:eastAsia="Calibri"/>
          <w:sz w:val="20"/>
          <w:szCs w:val="20"/>
          <w:lang w:val="en-US"/>
        </w:rPr>
        <w:t>on the ecological footprint.</w:t>
      </w:r>
      <w:r w:rsidR="00D11F36" w:rsidRPr="00781F4C">
        <w:rPr>
          <w:rFonts w:eastAsia="Calibri"/>
          <w:sz w:val="20"/>
          <w:szCs w:val="20"/>
          <w:lang w:val="en-US"/>
        </w:rPr>
        <w:t xml:space="preserve"> </w:t>
      </w:r>
      <w:r w:rsidR="00B76499" w:rsidRPr="00781F4C">
        <w:rPr>
          <w:rFonts w:eastAsia="Calibri"/>
          <w:sz w:val="20"/>
          <w:szCs w:val="20"/>
          <w:lang w:val="en-US"/>
        </w:rPr>
        <w:t xml:space="preserve">The mathematical formula of the quantile regression model is as follows in </w:t>
      </w:r>
      <w:r w:rsidR="00BF4A57" w:rsidRPr="00781F4C">
        <w:rPr>
          <w:rFonts w:eastAsia="Calibri"/>
          <w:sz w:val="20"/>
          <w:szCs w:val="20"/>
          <w:lang w:val="en-US"/>
        </w:rPr>
        <w:t>Equation (1</w:t>
      </w:r>
      <w:r w:rsidR="009A02A0" w:rsidRPr="00781F4C">
        <w:rPr>
          <w:rFonts w:eastAsia="Calibri"/>
          <w:sz w:val="20"/>
          <w:szCs w:val="20"/>
          <w:lang w:val="en-US"/>
        </w:rPr>
        <w:t>)</w:t>
      </w:r>
      <w:r w:rsidR="00B76499" w:rsidRPr="00781F4C">
        <w:rPr>
          <w:rFonts w:eastAsia="Calibri"/>
          <w:sz w:val="20"/>
          <w:szCs w:val="20"/>
          <w:lang w:val="en-US"/>
        </w:rPr>
        <w:t>.</w:t>
      </w:r>
    </w:p>
    <w:p w14:paraId="02E6A2A7" w14:textId="77777777" w:rsidR="005E3DA5" w:rsidRPr="00781F4C" w:rsidRDefault="005E3DA5" w:rsidP="005E3DA5">
      <w:pPr>
        <w:pStyle w:val="NoSpacing"/>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708"/>
      </w:tblGrid>
      <w:tr w:rsidR="005737CD" w:rsidRPr="00781F4C" w14:paraId="786FDB4D" w14:textId="77777777" w:rsidTr="00B76499">
        <w:tc>
          <w:tcPr>
            <w:tcW w:w="8642" w:type="dxa"/>
            <w:vAlign w:val="center"/>
          </w:tcPr>
          <w:p w14:paraId="3647266F" w14:textId="77777777" w:rsidR="00B76499" w:rsidRPr="00781F4C" w:rsidRDefault="00000000" w:rsidP="00372EF5">
            <w:pPr>
              <w:pStyle w:val="NoSpacing"/>
              <w:jc w:val="center"/>
              <w:rPr>
                <w:rFonts w:asciiTheme="majorBidi" w:eastAsiaTheme="minorEastAsia" w:hAnsiTheme="majorBidi" w:cstheme="majorBidi"/>
                <w:sz w:val="20"/>
                <w:szCs w:val="20"/>
                <w:lang w:bidi="fa-IR"/>
              </w:rPr>
            </w:pPr>
            <m:oMathPara>
              <m:oMathParaPr>
                <m:jc m:val="left"/>
              </m:oMathParaPr>
              <m:oMath>
                <m:sSub>
                  <m:sSubPr>
                    <m:ctrlPr>
                      <w:rPr>
                        <w:rFonts w:ascii="Cambria Math" w:hAnsi="Cambria Math"/>
                        <w:sz w:val="20"/>
                        <w:szCs w:val="20"/>
                      </w:rPr>
                    </m:ctrlPr>
                  </m:sSubPr>
                  <m:e>
                    <m:r>
                      <w:rPr>
                        <w:rFonts w:ascii="Cambria Math" w:hAnsi="Cambria Math"/>
                        <w:sz w:val="20"/>
                        <w:szCs w:val="20"/>
                      </w:rPr>
                      <m:t>y</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m:t>
                    </m:r>
                  </m:sub>
                </m:sSub>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θi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θi</m:t>
                    </m:r>
                  </m:sub>
                </m:sSub>
                <m:r>
                  <m:rPr>
                    <m:sty m:val="p"/>
                  </m:rPr>
                  <w:rPr>
                    <w:rFonts w:ascii="Cambria Math" w:hAnsi="Cambria Math"/>
                    <w:sz w:val="20"/>
                    <w:szCs w:val="20"/>
                    <w:lang w:bidi="fa-IR"/>
                  </w:rPr>
                  <m:t xml:space="preserve">. </m:t>
                </m:r>
                <m:r>
                  <w:rPr>
                    <w:rFonts w:ascii="Cambria Math" w:hAnsi="Cambria Math"/>
                    <w:sz w:val="20"/>
                    <w:szCs w:val="20"/>
                    <w:lang w:bidi="fa-IR"/>
                  </w:rPr>
                  <m:t xml:space="preserve"> 0&lt;θ&lt;1</m:t>
                </m:r>
              </m:oMath>
            </m:oMathPara>
          </w:p>
          <w:p w14:paraId="629A4A89" w14:textId="77777777" w:rsidR="00B76499" w:rsidRPr="00781F4C" w:rsidRDefault="00000000" w:rsidP="00372EF5">
            <w:pPr>
              <w:pStyle w:val="NoSpacing"/>
              <w:rPr>
                <w:rFonts w:asciiTheme="majorBidi" w:hAnsiTheme="majorBidi" w:cstheme="majorBidi"/>
                <w:sz w:val="20"/>
                <w:szCs w:val="20"/>
              </w:rPr>
            </w:pPr>
            <m:oMath>
              <m:sSub>
                <m:sSubPr>
                  <m:ctrlPr>
                    <w:rPr>
                      <w:rFonts w:ascii="Cambria Math" w:hAnsi="Cambria Math"/>
                      <w:i/>
                      <w:sz w:val="20"/>
                      <w:szCs w:val="20"/>
                      <w:lang w:bidi="fa-IR"/>
                    </w:rPr>
                  </m:ctrlPr>
                </m:sSubPr>
                <m:e>
                  <m:r>
                    <w:rPr>
                      <w:rFonts w:ascii="Cambria Math" w:hAnsi="Cambria Math"/>
                      <w:sz w:val="20"/>
                      <w:szCs w:val="20"/>
                      <w:lang w:bidi="fa-IR"/>
                    </w:rPr>
                    <m:t>Quant</m:t>
                  </m:r>
                </m:e>
                <m:sub>
                  <m:r>
                    <w:rPr>
                      <w:rFonts w:ascii="Cambria Math" w:hAnsi="Cambria Math"/>
                      <w:sz w:val="20"/>
                      <w:szCs w:val="20"/>
                      <w:lang w:bidi="fa-IR"/>
                    </w:rPr>
                    <m:t>iθ</m:t>
                  </m:r>
                </m:sub>
              </m:sSub>
              <m:r>
                <w:rPr>
                  <w:rFonts w:ascii="Cambria Math" w:hAnsi="Cambria Math"/>
                  <w:sz w:val="20"/>
                  <w:szCs w:val="20"/>
                  <w:lang w:bidi="fa-IR"/>
                </w:rPr>
                <m:t>(</m:t>
              </m:r>
              <m:f>
                <m:fPr>
                  <m:type m:val="lin"/>
                  <m:ctrlPr>
                    <w:rPr>
                      <w:rFonts w:ascii="Cambria Math" w:hAnsi="Cambria Math"/>
                      <w:i/>
                      <w:sz w:val="20"/>
                      <w:szCs w:val="20"/>
                      <w:lang w:bidi="fa-IR"/>
                    </w:rPr>
                  </m:ctrlPr>
                </m:fPr>
                <m:num>
                  <m:sSub>
                    <m:sSubPr>
                      <m:ctrlPr>
                        <w:rPr>
                          <w:rFonts w:ascii="Cambria Math" w:hAnsi="Cambria Math"/>
                          <w:i/>
                          <w:sz w:val="20"/>
                          <w:szCs w:val="20"/>
                          <w:lang w:bidi="fa-IR"/>
                        </w:rPr>
                      </m:ctrlPr>
                    </m:sSubPr>
                    <m:e>
                      <m:r>
                        <w:rPr>
                          <w:rFonts w:ascii="Cambria Math" w:hAnsi="Cambria Math"/>
                          <w:sz w:val="20"/>
                          <w:szCs w:val="20"/>
                          <w:lang w:bidi="fa-IR"/>
                        </w:rPr>
                        <m:t>y</m:t>
                      </m:r>
                    </m:e>
                    <m:sub>
                      <m:r>
                        <w:rPr>
                          <w:rFonts w:ascii="Cambria Math" w:hAnsi="Cambria Math"/>
                          <w:sz w:val="20"/>
                          <w:szCs w:val="20"/>
                          <w:lang w:bidi="fa-IR"/>
                        </w:rPr>
                        <m:t>i</m:t>
                      </m:r>
                    </m:sub>
                  </m:sSub>
                </m:num>
                <m:den>
                  <m:sSub>
                    <m:sSubPr>
                      <m:ctrlPr>
                        <w:rPr>
                          <w:rFonts w:ascii="Cambria Math" w:hAnsi="Cambria Math"/>
                          <w:i/>
                          <w:sz w:val="20"/>
                          <w:szCs w:val="20"/>
                          <w:lang w:bidi="fa-IR"/>
                        </w:rPr>
                      </m:ctrlPr>
                    </m:sSubPr>
                    <m:e>
                      <m:r>
                        <w:rPr>
                          <w:rFonts w:ascii="Cambria Math" w:hAnsi="Cambria Math"/>
                          <w:sz w:val="20"/>
                          <w:szCs w:val="20"/>
                          <w:lang w:bidi="fa-IR"/>
                        </w:rPr>
                        <m:t>x</m:t>
                      </m:r>
                    </m:e>
                    <m:sub>
                      <m:r>
                        <w:rPr>
                          <w:rFonts w:ascii="Cambria Math" w:hAnsi="Cambria Math"/>
                          <w:sz w:val="20"/>
                          <w:szCs w:val="20"/>
                          <w:lang w:bidi="fa-IR"/>
                        </w:rPr>
                        <m:t>i</m:t>
                      </m:r>
                    </m:sub>
                  </m:sSub>
                </m:den>
              </m:f>
              <m:r>
                <w:rPr>
                  <w:rFonts w:ascii="Cambria Math" w:hAnsi="Cambria Math"/>
                  <w:sz w:val="20"/>
                  <w:szCs w:val="20"/>
                  <w:lang w:bidi="fa-IR"/>
                </w:rPr>
                <m:t>)=</m:t>
              </m:r>
              <m:sSub>
                <m:sSubPr>
                  <m:ctrlPr>
                    <w:rPr>
                      <w:rFonts w:ascii="Cambria Math" w:hAnsi="Cambria Math"/>
                      <w:i/>
                      <w:sz w:val="20"/>
                      <w:szCs w:val="20"/>
                      <w:lang w:bidi="fa-IR"/>
                    </w:rPr>
                  </m:ctrlPr>
                </m:sSubPr>
                <m:e>
                  <m:r>
                    <w:rPr>
                      <w:rFonts w:ascii="Cambria Math" w:hAnsi="Cambria Math"/>
                      <w:sz w:val="20"/>
                      <w:szCs w:val="20"/>
                      <w:lang w:bidi="fa-IR"/>
                    </w:rPr>
                    <m:t>x</m:t>
                  </m:r>
                </m:e>
                <m:sub>
                  <m:r>
                    <w:rPr>
                      <w:rFonts w:ascii="Cambria Math" w:hAnsi="Cambria Math"/>
                      <w:sz w:val="20"/>
                      <w:szCs w:val="20"/>
                      <w:lang w:bidi="fa-IR"/>
                    </w:rPr>
                    <m:t>i</m:t>
                  </m:r>
                </m:sub>
              </m:sSub>
              <m:sSub>
                <m:sSubPr>
                  <m:ctrlPr>
                    <w:rPr>
                      <w:rFonts w:ascii="Cambria Math" w:hAnsi="Cambria Math"/>
                      <w:i/>
                      <w:sz w:val="20"/>
                      <w:szCs w:val="20"/>
                      <w:lang w:bidi="fa-IR"/>
                    </w:rPr>
                  </m:ctrlPr>
                </m:sSubPr>
                <m:e>
                  <m:r>
                    <w:rPr>
                      <w:rFonts w:ascii="Cambria Math" w:hAnsi="Cambria Math"/>
                      <w:sz w:val="20"/>
                      <w:szCs w:val="20"/>
                      <w:lang w:bidi="fa-IR"/>
                    </w:rPr>
                    <m:t>β</m:t>
                  </m:r>
                </m:e>
                <m:sub>
                  <m:r>
                    <w:rPr>
                      <w:rFonts w:ascii="Cambria Math" w:hAnsi="Cambria Math"/>
                      <w:sz w:val="20"/>
                      <w:szCs w:val="20"/>
                      <w:lang w:bidi="fa-IR"/>
                    </w:rPr>
                    <m:t>θ</m:t>
                  </m:r>
                </m:sub>
              </m:sSub>
            </m:oMath>
            <w:r w:rsidR="00B76499" w:rsidRPr="00781F4C">
              <w:rPr>
                <w:rFonts w:asciiTheme="majorBidi" w:eastAsiaTheme="minorEastAsia" w:hAnsiTheme="majorBidi" w:cstheme="majorBidi"/>
                <w:sz w:val="20"/>
                <w:szCs w:val="20"/>
                <w:lang w:bidi="fa-IR"/>
              </w:rPr>
              <w:t>,</w:t>
            </w:r>
          </w:p>
        </w:tc>
        <w:tc>
          <w:tcPr>
            <w:tcW w:w="708" w:type="dxa"/>
            <w:vAlign w:val="center"/>
          </w:tcPr>
          <w:p w14:paraId="542A5E48" w14:textId="5A132F68" w:rsidR="00B76499" w:rsidRPr="00781F4C" w:rsidRDefault="00BF4A57" w:rsidP="00372EF5">
            <w:pPr>
              <w:pStyle w:val="NoSpacing"/>
              <w:jc w:val="right"/>
              <w:rPr>
                <w:rFonts w:asciiTheme="majorBidi" w:hAnsiTheme="majorBidi" w:cstheme="majorBidi"/>
                <w:sz w:val="20"/>
                <w:szCs w:val="20"/>
              </w:rPr>
            </w:pPr>
            <w:r w:rsidRPr="00781F4C">
              <w:rPr>
                <w:rFonts w:asciiTheme="majorBidi" w:hAnsiTheme="majorBidi" w:cstheme="majorBidi"/>
                <w:sz w:val="20"/>
                <w:szCs w:val="20"/>
              </w:rPr>
              <w:t>(1</w:t>
            </w:r>
            <w:r w:rsidR="00B76499" w:rsidRPr="00781F4C">
              <w:rPr>
                <w:rFonts w:asciiTheme="majorBidi" w:hAnsiTheme="majorBidi" w:cstheme="majorBidi"/>
                <w:sz w:val="20"/>
                <w:szCs w:val="20"/>
              </w:rPr>
              <w:t>)</w:t>
            </w:r>
          </w:p>
        </w:tc>
      </w:tr>
    </w:tbl>
    <w:p w14:paraId="3BCCA1B9" w14:textId="77777777" w:rsidR="00081E17" w:rsidRPr="00781F4C" w:rsidRDefault="00081E17" w:rsidP="00081E17">
      <w:pPr>
        <w:jc w:val="both"/>
        <w:rPr>
          <w:rFonts w:eastAsia="Calibri"/>
          <w:sz w:val="20"/>
          <w:szCs w:val="20"/>
          <w:lang w:val="en-US"/>
        </w:rPr>
      </w:pPr>
    </w:p>
    <w:p w14:paraId="763D0F6E" w14:textId="5034E680" w:rsidR="00B76499" w:rsidRPr="00781F4C" w:rsidRDefault="00B76499" w:rsidP="00081E17">
      <w:pPr>
        <w:jc w:val="both"/>
        <w:rPr>
          <w:rFonts w:eastAsia="Calibri"/>
          <w:sz w:val="20"/>
          <w:szCs w:val="20"/>
          <w:lang w:val="en-US"/>
        </w:rPr>
      </w:pPr>
      <w:r w:rsidRPr="00781F4C">
        <w:rPr>
          <w:rFonts w:eastAsia="Calibri"/>
          <w:sz w:val="20"/>
          <w:szCs w:val="20"/>
          <w:lang w:val="en-US"/>
        </w:rPr>
        <w:t xml:space="preserve">where X </w:t>
      </w:r>
      <w:r w:rsidR="00081E17" w:rsidRPr="00781F4C">
        <w:rPr>
          <w:rFonts w:eastAsia="Calibri"/>
          <w:sz w:val="20"/>
          <w:szCs w:val="20"/>
          <w:lang w:val="en-US"/>
        </w:rPr>
        <w:t>is the vector of independent variables; Y is the vector of dependent variables; μ is a random error</w:t>
      </w:r>
      <w:r w:rsidRPr="00781F4C">
        <w:rPr>
          <w:rFonts w:eastAsia="Calibri"/>
          <w:sz w:val="20"/>
          <w:szCs w:val="20"/>
          <w:lang w:val="en-US"/>
        </w:rPr>
        <w:t xml:space="preserve">; </w:t>
      </w:r>
      <m:oMath>
        <m:sSub>
          <m:sSubPr>
            <m:ctrlPr>
              <w:rPr>
                <w:rFonts w:ascii="Cambria Math" w:eastAsia="Calibri" w:hAnsi="Cambria Math"/>
                <w:sz w:val="20"/>
                <w:szCs w:val="20"/>
                <w:lang w:val="en-US"/>
              </w:rPr>
            </m:ctrlPr>
          </m:sSubPr>
          <m:e>
            <m:r>
              <m:rPr>
                <m:sty m:val="p"/>
              </m:rPr>
              <w:rPr>
                <w:rFonts w:ascii="Cambria Math" w:eastAsia="Calibri" w:hAnsi="Cambria Math"/>
                <w:sz w:val="20"/>
                <w:szCs w:val="20"/>
                <w:lang w:val="en-US"/>
              </w:rPr>
              <m:t>Quant</m:t>
            </m:r>
          </m:e>
          <m:sub>
            <m:r>
              <m:rPr>
                <m:sty m:val="p"/>
              </m:rPr>
              <w:rPr>
                <w:rFonts w:ascii="Cambria Math" w:eastAsia="Calibri" w:hAnsi="Cambria Math"/>
                <w:sz w:val="20"/>
                <w:szCs w:val="20"/>
                <w:lang w:val="en-US"/>
              </w:rPr>
              <m:t>iθ</m:t>
            </m:r>
          </m:sub>
        </m:sSub>
        <m:r>
          <m:rPr>
            <m:sty m:val="p"/>
          </m:rPr>
          <w:rPr>
            <w:rFonts w:ascii="Cambria Math" w:eastAsia="Calibri" w:hAnsi="Cambria Math"/>
            <w:sz w:val="20"/>
            <w:szCs w:val="20"/>
            <w:lang w:val="en-US"/>
          </w:rPr>
          <m:t>(</m:t>
        </m:r>
        <m:f>
          <m:fPr>
            <m:type m:val="lin"/>
            <m:ctrlPr>
              <w:rPr>
                <w:rFonts w:ascii="Cambria Math" w:eastAsia="Calibri" w:hAnsi="Cambria Math"/>
                <w:sz w:val="20"/>
                <w:szCs w:val="20"/>
                <w:lang w:val="en-US"/>
              </w:rPr>
            </m:ctrlPr>
          </m:fPr>
          <m:num>
            <m:sSub>
              <m:sSubPr>
                <m:ctrlPr>
                  <w:rPr>
                    <w:rFonts w:ascii="Cambria Math" w:eastAsia="Calibri" w:hAnsi="Cambria Math"/>
                    <w:sz w:val="20"/>
                    <w:szCs w:val="20"/>
                    <w:lang w:val="en-US"/>
                  </w:rPr>
                </m:ctrlPr>
              </m:sSubPr>
              <m:e>
                <m:r>
                  <m:rPr>
                    <m:sty m:val="p"/>
                  </m:rPr>
                  <w:rPr>
                    <w:rFonts w:ascii="Cambria Math" w:eastAsia="Calibri" w:hAnsi="Cambria Math"/>
                    <w:sz w:val="20"/>
                    <w:szCs w:val="20"/>
                    <w:lang w:val="en-US"/>
                  </w:rPr>
                  <m:t>y</m:t>
                </m:r>
              </m:e>
              <m:sub>
                <m:r>
                  <m:rPr>
                    <m:sty m:val="p"/>
                  </m:rPr>
                  <w:rPr>
                    <w:rFonts w:ascii="Cambria Math" w:eastAsia="Calibri" w:hAnsi="Cambria Math"/>
                    <w:sz w:val="20"/>
                    <w:szCs w:val="20"/>
                    <w:lang w:val="en-US"/>
                  </w:rPr>
                  <m:t>i</m:t>
                </m:r>
              </m:sub>
            </m:sSub>
          </m:num>
          <m:den>
            <m:sSub>
              <m:sSubPr>
                <m:ctrlPr>
                  <w:rPr>
                    <w:rFonts w:ascii="Cambria Math" w:eastAsia="Calibri" w:hAnsi="Cambria Math"/>
                    <w:sz w:val="20"/>
                    <w:szCs w:val="20"/>
                    <w:lang w:val="en-US"/>
                  </w:rPr>
                </m:ctrlPr>
              </m:sSubPr>
              <m:e>
                <m:r>
                  <m:rPr>
                    <m:sty m:val="p"/>
                  </m:rPr>
                  <w:rPr>
                    <w:rFonts w:ascii="Cambria Math" w:eastAsia="Calibri" w:hAnsi="Cambria Math"/>
                    <w:sz w:val="20"/>
                    <w:szCs w:val="20"/>
                    <w:lang w:val="en-US"/>
                  </w:rPr>
                  <m:t>x</m:t>
                </m:r>
              </m:e>
              <m:sub>
                <m:r>
                  <m:rPr>
                    <m:sty m:val="p"/>
                  </m:rPr>
                  <w:rPr>
                    <w:rFonts w:ascii="Cambria Math" w:eastAsia="Calibri" w:hAnsi="Cambria Math"/>
                    <w:sz w:val="20"/>
                    <w:szCs w:val="20"/>
                    <w:lang w:val="en-US"/>
                  </w:rPr>
                  <m:t>i</m:t>
                </m:r>
              </m:sub>
            </m:sSub>
          </m:den>
        </m:f>
        <m:r>
          <m:rPr>
            <m:sty m:val="p"/>
          </m:rPr>
          <w:rPr>
            <w:rFonts w:ascii="Cambria Math" w:eastAsia="Calibri" w:hAnsi="Cambria Math"/>
            <w:sz w:val="20"/>
            <w:szCs w:val="20"/>
            <w:lang w:val="en-US"/>
          </w:rPr>
          <m:t>)</m:t>
        </m:r>
      </m:oMath>
      <w:r w:rsidRPr="00781F4C">
        <w:rPr>
          <w:rFonts w:eastAsia="Calibri"/>
          <w:sz w:val="20"/>
          <w:szCs w:val="20"/>
          <w:lang w:val="en-US"/>
        </w:rPr>
        <w:t xml:space="preserve"> is the </w:t>
      </w:r>
      <m:oMath>
        <m:r>
          <m:rPr>
            <m:sty m:val="p"/>
          </m:rPr>
          <w:rPr>
            <w:rFonts w:ascii="Cambria Math" w:eastAsia="Calibri" w:hAnsi="Cambria Math"/>
            <w:sz w:val="20"/>
            <w:szCs w:val="20"/>
            <w:lang w:val="en-US"/>
          </w:rPr>
          <m:t>θth</m:t>
        </m:r>
      </m:oMath>
      <w:r w:rsidRPr="00781F4C">
        <w:rPr>
          <w:rFonts w:eastAsia="Calibri"/>
          <w:sz w:val="20"/>
          <w:szCs w:val="20"/>
          <w:lang w:val="en-US"/>
        </w:rPr>
        <w:t xml:space="preserve"> quantile of the </w:t>
      </w:r>
      <w:r w:rsidR="00081E17" w:rsidRPr="00781F4C">
        <w:rPr>
          <w:rFonts w:eastAsia="Calibri"/>
          <w:sz w:val="20"/>
          <w:szCs w:val="20"/>
          <w:lang w:val="en-US"/>
        </w:rPr>
        <w:t xml:space="preserve">independent </w:t>
      </w:r>
      <w:r w:rsidRPr="00781F4C">
        <w:rPr>
          <w:rFonts w:eastAsia="Calibri"/>
          <w:sz w:val="20"/>
          <w:szCs w:val="20"/>
          <w:lang w:val="en-US"/>
        </w:rPr>
        <w:t xml:space="preserve">variable; the βθ estimate shows the quantile regression </w:t>
      </w:r>
      <w:proofErr w:type="spellStart"/>
      <w:r w:rsidRPr="00781F4C">
        <w:rPr>
          <w:rFonts w:eastAsia="Calibri"/>
          <w:sz w:val="20"/>
          <w:szCs w:val="20"/>
          <w:lang w:val="en-US"/>
        </w:rPr>
        <w:t>θth</w:t>
      </w:r>
      <w:proofErr w:type="spellEnd"/>
      <w:r w:rsidRPr="00781F4C">
        <w:rPr>
          <w:rFonts w:eastAsia="Calibri"/>
          <w:sz w:val="20"/>
          <w:szCs w:val="20"/>
          <w:lang w:val="en-US"/>
        </w:rPr>
        <w:t xml:space="preserve"> and solves the </w:t>
      </w:r>
      <w:r w:rsidR="009A02A0" w:rsidRPr="00781F4C">
        <w:rPr>
          <w:rFonts w:eastAsia="Calibri"/>
          <w:sz w:val="20"/>
          <w:szCs w:val="20"/>
          <w:lang w:val="en-US"/>
        </w:rPr>
        <w:t>Equation (</w:t>
      </w:r>
      <w:r w:rsidR="00081E17" w:rsidRPr="00781F4C">
        <w:rPr>
          <w:rFonts w:eastAsia="Calibri"/>
          <w:sz w:val="20"/>
          <w:szCs w:val="20"/>
          <w:lang w:val="en-US"/>
        </w:rPr>
        <w:t>2</w:t>
      </w:r>
      <w:r w:rsidR="009A02A0" w:rsidRPr="00781F4C">
        <w:rPr>
          <w:rFonts w:eastAsia="Calibri"/>
          <w:sz w:val="20"/>
          <w:szCs w:val="20"/>
          <w:lang w:val="en-US"/>
        </w:rPr>
        <w:t>)</w:t>
      </w:r>
      <w:r w:rsidRPr="00781F4C">
        <w:rPr>
          <w:rFonts w:eastAsia="Calibri"/>
          <w:sz w:val="20"/>
          <w:szCs w:val="20"/>
          <w:lang w:val="en-US"/>
        </w:rPr>
        <w:t>:</w:t>
      </w:r>
    </w:p>
    <w:p w14:paraId="187BAE05" w14:textId="77777777" w:rsidR="009A5719" w:rsidRPr="00781F4C" w:rsidRDefault="009A5719" w:rsidP="00081E17">
      <w:pPr>
        <w:jc w:val="both"/>
        <w:rPr>
          <w:rFonts w:eastAsia="Calibri"/>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708"/>
      </w:tblGrid>
      <w:tr w:rsidR="005737CD" w:rsidRPr="00781F4C" w14:paraId="7EA970E1" w14:textId="77777777" w:rsidTr="00B76499">
        <w:tc>
          <w:tcPr>
            <w:tcW w:w="8642" w:type="dxa"/>
            <w:vAlign w:val="center"/>
          </w:tcPr>
          <w:p w14:paraId="1F85F5E9" w14:textId="77777777" w:rsidR="00B76499" w:rsidRPr="00781F4C" w:rsidRDefault="00B76499" w:rsidP="00372EF5">
            <w:pPr>
              <w:pStyle w:val="NoSpacing"/>
              <w:jc w:val="center"/>
              <w:rPr>
                <w:rFonts w:asciiTheme="majorBidi" w:hAnsiTheme="majorBidi" w:cstheme="majorBidi"/>
                <w:sz w:val="20"/>
                <w:szCs w:val="20"/>
              </w:rPr>
            </w:pPr>
            <m:oMathPara>
              <m:oMathParaPr>
                <m:jc m:val="left"/>
              </m:oMathParaPr>
              <m:oMath>
                <m:r>
                  <w:rPr>
                    <w:rFonts w:ascii="Cambria Math" w:hAnsi="Cambria Math"/>
                    <w:sz w:val="20"/>
                    <w:szCs w:val="20"/>
                    <w:lang w:bidi="fa-IR"/>
                  </w:rPr>
                  <m:t>min</m:t>
                </m:r>
                <m:nary>
                  <m:naryPr>
                    <m:chr m:val="∑"/>
                    <m:supHide m:val="1"/>
                    <m:ctrlPr>
                      <w:rPr>
                        <w:rFonts w:ascii="Cambria Math" w:hAnsi="Cambria Math"/>
                        <w:i/>
                        <w:sz w:val="20"/>
                        <w:szCs w:val="20"/>
                        <w:lang w:bidi="fa-IR"/>
                      </w:rPr>
                    </m:ctrlPr>
                  </m:naryPr>
                  <m:sub>
                    <m:r>
                      <w:rPr>
                        <w:rFonts w:ascii="Cambria Math" w:hAnsi="Cambria Math"/>
                        <w:sz w:val="20"/>
                        <w:szCs w:val="20"/>
                        <w:lang w:bidi="fa-IR"/>
                      </w:rPr>
                      <m:t>yi≥</m:t>
                    </m:r>
                    <m:sSubSup>
                      <m:sSubSupPr>
                        <m:ctrlPr>
                          <w:rPr>
                            <w:rFonts w:ascii="Cambria Math" w:eastAsia="Times New Roman" w:hAnsi="Cambria Math" w:cs="Arial"/>
                            <w:i/>
                            <w:sz w:val="20"/>
                            <w:szCs w:val="20"/>
                            <w:lang w:bidi="fa-IR"/>
                          </w:rPr>
                        </m:ctrlPr>
                      </m:sSubSupPr>
                      <m:e>
                        <m:r>
                          <w:rPr>
                            <w:rFonts w:ascii="Cambria Math" w:eastAsia="Times New Roman" w:hAnsi="Cambria Math"/>
                            <w:sz w:val="20"/>
                            <w:szCs w:val="20"/>
                            <w:lang w:bidi="fa-IR"/>
                          </w:rPr>
                          <m:t>x</m:t>
                        </m:r>
                      </m:e>
                      <m:sub>
                        <m:r>
                          <w:rPr>
                            <w:rFonts w:ascii="Cambria Math" w:eastAsia="Times New Roman" w:hAnsi="Cambria Math"/>
                            <w:sz w:val="20"/>
                            <w:szCs w:val="20"/>
                            <w:lang w:bidi="fa-IR"/>
                          </w:rPr>
                          <m:t>i</m:t>
                        </m:r>
                      </m:sub>
                      <m:sup>
                        <m:r>
                          <w:rPr>
                            <w:rFonts w:ascii="Cambria Math" w:eastAsia="Times New Roman" w:hAnsi="Cambria Math"/>
                            <w:sz w:val="20"/>
                            <w:szCs w:val="20"/>
                            <w:lang w:bidi="fa-IR"/>
                          </w:rPr>
                          <m:t>'</m:t>
                        </m:r>
                      </m:sup>
                    </m:sSubSup>
                    <m:r>
                      <w:rPr>
                        <w:rFonts w:ascii="Cambria Math" w:eastAsia="Times New Roman" w:hAnsi="Cambria Math"/>
                        <w:sz w:val="20"/>
                        <w:szCs w:val="20"/>
                        <w:lang w:bidi="fa-IR"/>
                      </w:rPr>
                      <m:t>β</m:t>
                    </m:r>
                  </m:sub>
                  <m:sup/>
                  <m:e>
                    <m:r>
                      <w:rPr>
                        <w:rFonts w:ascii="Cambria Math" w:hAnsi="Cambria Math"/>
                        <w:sz w:val="20"/>
                        <w:szCs w:val="20"/>
                        <w:lang w:bidi="fa-IR"/>
                      </w:rPr>
                      <m:t>θ|</m:t>
                    </m:r>
                    <m:sSub>
                      <m:sSubPr>
                        <m:ctrlPr>
                          <w:rPr>
                            <w:rFonts w:ascii="Cambria Math" w:eastAsia="Calibri" w:hAnsi="Cambria Math" w:cs="Arial"/>
                            <w:i/>
                            <w:sz w:val="20"/>
                            <w:szCs w:val="20"/>
                            <w:lang w:bidi="fa-IR"/>
                          </w:rPr>
                        </m:ctrlPr>
                      </m:sSubPr>
                      <m:e>
                        <m:r>
                          <w:rPr>
                            <w:rFonts w:ascii="Cambria Math" w:hAnsi="Cambria Math"/>
                            <w:sz w:val="20"/>
                            <w:szCs w:val="20"/>
                            <w:lang w:bidi="fa-IR"/>
                          </w:rPr>
                          <m:t>y</m:t>
                        </m:r>
                      </m:e>
                      <m:sub>
                        <m:r>
                          <w:rPr>
                            <w:rFonts w:ascii="Cambria Math" w:hAnsi="Cambria Math"/>
                            <w:sz w:val="20"/>
                            <w:szCs w:val="20"/>
                            <w:lang w:bidi="fa-IR"/>
                          </w:rPr>
                          <m:t>t</m:t>
                        </m:r>
                      </m:sub>
                    </m:sSub>
                    <m:r>
                      <w:rPr>
                        <w:rFonts w:ascii="Cambria Math" w:eastAsia="Times New Roman" w:hAnsi="Cambria Math"/>
                        <w:sz w:val="20"/>
                        <w:szCs w:val="20"/>
                        <w:lang w:bidi="fa-IR"/>
                      </w:rPr>
                      <m:t>-</m:t>
                    </m:r>
                    <m:sSubSup>
                      <m:sSubSupPr>
                        <m:ctrlPr>
                          <w:rPr>
                            <w:rFonts w:ascii="Cambria Math" w:eastAsia="Times New Roman" w:hAnsi="Cambria Math" w:cs="Arial"/>
                            <w:i/>
                            <w:sz w:val="20"/>
                            <w:szCs w:val="20"/>
                            <w:lang w:bidi="fa-IR"/>
                          </w:rPr>
                        </m:ctrlPr>
                      </m:sSubSupPr>
                      <m:e>
                        <m:r>
                          <w:rPr>
                            <w:rFonts w:ascii="Cambria Math" w:eastAsia="Times New Roman" w:hAnsi="Cambria Math"/>
                            <w:sz w:val="20"/>
                            <w:szCs w:val="20"/>
                            <w:lang w:bidi="fa-IR"/>
                          </w:rPr>
                          <m:t>x</m:t>
                        </m:r>
                      </m:e>
                      <m:sub>
                        <m:r>
                          <w:rPr>
                            <w:rFonts w:ascii="Cambria Math" w:eastAsia="Times New Roman" w:hAnsi="Cambria Math"/>
                            <w:sz w:val="20"/>
                            <w:szCs w:val="20"/>
                            <w:lang w:bidi="fa-IR"/>
                          </w:rPr>
                          <m:t>i</m:t>
                        </m:r>
                      </m:sub>
                      <m:sup>
                        <m:r>
                          <w:rPr>
                            <w:rFonts w:ascii="Cambria Math" w:eastAsia="Times New Roman" w:hAnsi="Cambria Math"/>
                            <w:sz w:val="20"/>
                            <w:szCs w:val="20"/>
                            <w:lang w:bidi="fa-IR"/>
                          </w:rPr>
                          <m:t>'</m:t>
                        </m:r>
                      </m:sup>
                    </m:sSubSup>
                    <m:r>
                      <w:rPr>
                        <w:rFonts w:ascii="Cambria Math" w:eastAsia="Times New Roman" w:hAnsi="Cambria Math"/>
                        <w:sz w:val="20"/>
                        <w:szCs w:val="20"/>
                        <w:lang w:bidi="fa-IR"/>
                      </w:rPr>
                      <m:t>β|</m:t>
                    </m:r>
                  </m:e>
                </m:nary>
                <m:r>
                  <w:rPr>
                    <w:rFonts w:ascii="Cambria Math" w:hAnsi="Cambria Math"/>
                    <w:sz w:val="20"/>
                    <w:szCs w:val="20"/>
                    <w:lang w:bidi="fa-IR"/>
                  </w:rPr>
                  <m:t>+</m:t>
                </m:r>
                <m:nary>
                  <m:naryPr>
                    <m:chr m:val="∑"/>
                    <m:limLoc m:val="undOvr"/>
                    <m:supHide m:val="1"/>
                    <m:ctrlPr>
                      <w:rPr>
                        <w:rFonts w:ascii="Cambria Math" w:hAnsi="Cambria Math"/>
                        <w:i/>
                        <w:sz w:val="20"/>
                        <w:szCs w:val="20"/>
                        <w:lang w:bidi="fa-IR"/>
                      </w:rPr>
                    </m:ctrlPr>
                  </m:naryPr>
                  <m:sub>
                    <m:r>
                      <w:rPr>
                        <w:rFonts w:ascii="Cambria Math" w:hAnsi="Cambria Math"/>
                        <w:sz w:val="20"/>
                        <w:szCs w:val="20"/>
                        <w:lang w:bidi="fa-IR"/>
                      </w:rPr>
                      <m:t>yi&lt;</m:t>
                    </m:r>
                    <m:sSubSup>
                      <m:sSubSupPr>
                        <m:ctrlPr>
                          <w:rPr>
                            <w:rFonts w:ascii="Cambria Math" w:eastAsia="Times New Roman" w:hAnsi="Cambria Math" w:cs="Arial"/>
                            <w:i/>
                            <w:sz w:val="20"/>
                            <w:szCs w:val="20"/>
                            <w:lang w:bidi="fa-IR"/>
                          </w:rPr>
                        </m:ctrlPr>
                      </m:sSubSupPr>
                      <m:e>
                        <m:r>
                          <w:rPr>
                            <w:rFonts w:ascii="Cambria Math" w:eastAsia="Times New Roman" w:hAnsi="Cambria Math"/>
                            <w:sz w:val="20"/>
                            <w:szCs w:val="20"/>
                            <w:lang w:bidi="fa-IR"/>
                          </w:rPr>
                          <m:t>x</m:t>
                        </m:r>
                      </m:e>
                      <m:sub>
                        <m:r>
                          <w:rPr>
                            <w:rFonts w:ascii="Cambria Math" w:eastAsia="Times New Roman" w:hAnsi="Cambria Math"/>
                            <w:sz w:val="20"/>
                            <w:szCs w:val="20"/>
                            <w:lang w:bidi="fa-IR"/>
                          </w:rPr>
                          <m:t>i</m:t>
                        </m:r>
                      </m:sub>
                      <m:sup>
                        <m:r>
                          <w:rPr>
                            <w:rFonts w:ascii="Cambria Math" w:eastAsia="Times New Roman" w:hAnsi="Cambria Math"/>
                            <w:sz w:val="20"/>
                            <w:szCs w:val="20"/>
                            <w:lang w:bidi="fa-IR"/>
                          </w:rPr>
                          <m:t>'</m:t>
                        </m:r>
                      </m:sup>
                    </m:sSubSup>
                    <m:r>
                      <w:rPr>
                        <w:rFonts w:ascii="Cambria Math" w:eastAsia="Times New Roman" w:hAnsi="Cambria Math"/>
                        <w:sz w:val="20"/>
                        <w:szCs w:val="20"/>
                        <w:lang w:bidi="fa-IR"/>
                      </w:rPr>
                      <m:t>β</m:t>
                    </m:r>
                  </m:sub>
                  <m:sup/>
                  <m:e>
                    <m:d>
                      <m:dPr>
                        <m:ctrlPr>
                          <w:rPr>
                            <w:rFonts w:ascii="Cambria Math" w:hAnsi="Cambria Math"/>
                            <w:i/>
                            <w:sz w:val="20"/>
                            <w:szCs w:val="20"/>
                            <w:lang w:bidi="fa-IR"/>
                          </w:rPr>
                        </m:ctrlPr>
                      </m:dPr>
                      <m:e>
                        <m:r>
                          <w:rPr>
                            <w:rFonts w:ascii="Cambria Math" w:hAnsi="Cambria Math"/>
                            <w:sz w:val="20"/>
                            <w:szCs w:val="20"/>
                            <w:lang w:bidi="fa-IR"/>
                          </w:rPr>
                          <m:t>1-θ</m:t>
                        </m:r>
                      </m:e>
                    </m:d>
                    <m:r>
                      <w:rPr>
                        <w:rFonts w:ascii="Cambria Math" w:hAnsi="Cambria Math"/>
                        <w:sz w:val="20"/>
                        <w:szCs w:val="20"/>
                        <w:lang w:bidi="fa-IR"/>
                      </w:rPr>
                      <m:t>|</m:t>
                    </m:r>
                    <m:sSub>
                      <m:sSubPr>
                        <m:ctrlPr>
                          <w:rPr>
                            <w:rFonts w:ascii="Cambria Math" w:eastAsia="Calibri" w:hAnsi="Cambria Math" w:cs="Arial"/>
                            <w:i/>
                            <w:sz w:val="20"/>
                            <w:szCs w:val="20"/>
                            <w:lang w:bidi="fa-IR"/>
                          </w:rPr>
                        </m:ctrlPr>
                      </m:sSubPr>
                      <m:e>
                        <m:r>
                          <w:rPr>
                            <w:rFonts w:ascii="Cambria Math" w:hAnsi="Cambria Math"/>
                            <w:sz w:val="20"/>
                            <w:szCs w:val="20"/>
                            <w:lang w:bidi="fa-IR"/>
                          </w:rPr>
                          <m:t>y</m:t>
                        </m:r>
                      </m:e>
                      <m:sub>
                        <m:r>
                          <w:rPr>
                            <w:rFonts w:ascii="Cambria Math" w:hAnsi="Cambria Math"/>
                            <w:sz w:val="20"/>
                            <w:szCs w:val="20"/>
                            <w:lang w:bidi="fa-IR"/>
                          </w:rPr>
                          <m:t>t</m:t>
                        </m:r>
                      </m:sub>
                    </m:sSub>
                    <m:r>
                      <w:rPr>
                        <w:rFonts w:ascii="Cambria Math" w:eastAsia="Times New Roman" w:hAnsi="Cambria Math"/>
                        <w:sz w:val="20"/>
                        <w:szCs w:val="20"/>
                        <w:lang w:bidi="fa-IR"/>
                      </w:rPr>
                      <m:t>-</m:t>
                    </m:r>
                    <m:sSubSup>
                      <m:sSubSupPr>
                        <m:ctrlPr>
                          <w:rPr>
                            <w:rFonts w:ascii="Cambria Math" w:eastAsia="Times New Roman" w:hAnsi="Cambria Math" w:cs="Arial"/>
                            <w:i/>
                            <w:sz w:val="20"/>
                            <w:szCs w:val="20"/>
                            <w:lang w:bidi="fa-IR"/>
                          </w:rPr>
                        </m:ctrlPr>
                      </m:sSubSupPr>
                      <m:e>
                        <m:r>
                          <w:rPr>
                            <w:rFonts w:ascii="Cambria Math" w:eastAsia="Times New Roman" w:hAnsi="Cambria Math"/>
                            <w:sz w:val="20"/>
                            <w:szCs w:val="20"/>
                            <w:lang w:bidi="fa-IR"/>
                          </w:rPr>
                          <m:t>x</m:t>
                        </m:r>
                      </m:e>
                      <m:sub>
                        <m:r>
                          <w:rPr>
                            <w:rFonts w:ascii="Cambria Math" w:eastAsia="Times New Roman" w:hAnsi="Cambria Math"/>
                            <w:sz w:val="20"/>
                            <w:szCs w:val="20"/>
                            <w:lang w:bidi="fa-IR"/>
                          </w:rPr>
                          <m:t>i</m:t>
                        </m:r>
                      </m:sub>
                      <m:sup>
                        <m:r>
                          <w:rPr>
                            <w:rFonts w:ascii="Cambria Math" w:eastAsia="Times New Roman" w:hAnsi="Cambria Math"/>
                            <w:sz w:val="20"/>
                            <w:szCs w:val="20"/>
                            <w:lang w:bidi="fa-IR"/>
                          </w:rPr>
                          <m:t>'</m:t>
                        </m:r>
                      </m:sup>
                    </m:sSubSup>
                    <m:r>
                      <w:rPr>
                        <w:rFonts w:ascii="Cambria Math" w:eastAsia="Times New Roman" w:hAnsi="Cambria Math"/>
                        <w:sz w:val="20"/>
                        <w:szCs w:val="20"/>
                        <w:lang w:bidi="fa-IR"/>
                      </w:rPr>
                      <m:t>β</m:t>
                    </m:r>
                  </m:e>
                </m:nary>
                <m:r>
                  <w:rPr>
                    <w:rFonts w:ascii="Cambria Math" w:eastAsia="Times New Roman" w:hAnsi="Cambria Math"/>
                    <w:sz w:val="20"/>
                    <w:szCs w:val="20"/>
                    <w:lang w:bidi="fa-IR"/>
                  </w:rPr>
                  <m:t>|</m:t>
                </m:r>
              </m:oMath>
            </m:oMathPara>
          </w:p>
        </w:tc>
        <w:tc>
          <w:tcPr>
            <w:tcW w:w="708" w:type="dxa"/>
            <w:vAlign w:val="center"/>
          </w:tcPr>
          <w:p w14:paraId="7137A45D" w14:textId="393845E7" w:rsidR="00B76499" w:rsidRPr="00781F4C" w:rsidRDefault="009A02A0" w:rsidP="00081E17">
            <w:pPr>
              <w:pStyle w:val="NoSpacing"/>
              <w:jc w:val="right"/>
              <w:rPr>
                <w:rFonts w:asciiTheme="majorBidi" w:hAnsiTheme="majorBidi" w:cstheme="majorBidi"/>
                <w:sz w:val="20"/>
                <w:szCs w:val="20"/>
              </w:rPr>
            </w:pPr>
            <w:r w:rsidRPr="00781F4C">
              <w:rPr>
                <w:rFonts w:asciiTheme="majorBidi" w:hAnsiTheme="majorBidi" w:cstheme="majorBidi"/>
                <w:sz w:val="20"/>
                <w:szCs w:val="20"/>
              </w:rPr>
              <w:t>(</w:t>
            </w:r>
            <w:r w:rsidR="00081E17" w:rsidRPr="00781F4C">
              <w:rPr>
                <w:rFonts w:asciiTheme="majorBidi" w:hAnsiTheme="majorBidi" w:cstheme="majorBidi"/>
                <w:sz w:val="20"/>
                <w:szCs w:val="20"/>
              </w:rPr>
              <w:t>2</w:t>
            </w:r>
            <w:r w:rsidR="00B76499" w:rsidRPr="00781F4C">
              <w:rPr>
                <w:rFonts w:asciiTheme="majorBidi" w:hAnsiTheme="majorBidi" w:cstheme="majorBidi"/>
                <w:sz w:val="20"/>
                <w:szCs w:val="20"/>
              </w:rPr>
              <w:t>)</w:t>
            </w:r>
          </w:p>
        </w:tc>
      </w:tr>
    </w:tbl>
    <w:p w14:paraId="4506A2A1" w14:textId="77777777" w:rsidR="001A5B23" w:rsidRPr="00781F4C" w:rsidRDefault="001A5B23" w:rsidP="001A5B23">
      <w:pPr>
        <w:jc w:val="both"/>
        <w:rPr>
          <w:rFonts w:eastAsia="Calibri"/>
          <w:sz w:val="20"/>
          <w:szCs w:val="20"/>
          <w:lang w:val="en-US"/>
        </w:rPr>
      </w:pPr>
    </w:p>
    <w:p w14:paraId="455C538F" w14:textId="2FB680B8" w:rsidR="00B76499" w:rsidRPr="00781F4C" w:rsidRDefault="00727E1A" w:rsidP="001A5B23">
      <w:pPr>
        <w:jc w:val="both"/>
        <w:rPr>
          <w:rFonts w:eastAsia="Calibri"/>
          <w:sz w:val="20"/>
          <w:szCs w:val="20"/>
          <w:lang w:val="en-US"/>
        </w:rPr>
      </w:pPr>
      <w:r w:rsidRPr="00781F4C">
        <w:rPr>
          <w:rFonts w:eastAsia="Calibri"/>
          <w:sz w:val="20"/>
          <w:szCs w:val="20"/>
          <w:lang w:val="en-US"/>
        </w:rPr>
        <w:t>Given that, θ is equal to different values. Therefore, estimation of differen</w:t>
      </w:r>
      <w:r w:rsidR="00CD2EDE" w:rsidRPr="00781F4C">
        <w:rPr>
          <w:rFonts w:eastAsia="Calibri"/>
          <w:sz w:val="20"/>
          <w:szCs w:val="20"/>
          <w:lang w:val="en-US"/>
        </w:rPr>
        <w:t>t parameters is obtained.</w:t>
      </w:r>
      <w:r w:rsidR="00D91F6F" w:rsidRPr="00781F4C">
        <w:rPr>
          <w:rFonts w:eastAsia="Calibri"/>
          <w:sz w:val="20"/>
          <w:szCs w:val="20"/>
          <w:lang w:val="en-US"/>
        </w:rPr>
        <w:t xml:space="preserve"> </w:t>
      </w:r>
      <w:r w:rsidR="00B76499" w:rsidRPr="00781F4C">
        <w:rPr>
          <w:rFonts w:eastAsia="Calibri"/>
          <w:sz w:val="20"/>
          <w:szCs w:val="20"/>
          <w:lang w:val="en-US"/>
        </w:rPr>
        <w:t xml:space="preserve">The mean regression is a particular case of quantile regression under θ = 0.5 </w:t>
      </w:r>
      <w:r w:rsidR="00A1202D" w:rsidRPr="00781F4C">
        <w:rPr>
          <w:rFonts w:eastAsia="Calibri"/>
          <w:sz w:val="20"/>
          <w:szCs w:val="20"/>
          <w:lang w:val="en-US"/>
        </w:rPr>
        <w:t>(</w:t>
      </w:r>
      <w:r w:rsidR="00CA3DDC" w:rsidRPr="00781F4C">
        <w:rPr>
          <w:rFonts w:eastAsia="Calibri"/>
          <w:sz w:val="20"/>
          <w:szCs w:val="20"/>
          <w:lang w:val="en-US"/>
        </w:rPr>
        <w:t>Xu and Lin</w:t>
      </w:r>
      <w:r w:rsidR="00A1202D" w:rsidRPr="00781F4C">
        <w:rPr>
          <w:rFonts w:eastAsia="Calibri"/>
          <w:sz w:val="20"/>
          <w:szCs w:val="20"/>
          <w:lang w:val="en-US"/>
        </w:rPr>
        <w:t xml:space="preserve"> 2018).</w:t>
      </w:r>
    </w:p>
    <w:p w14:paraId="01FE7D7A" w14:textId="1CCB352D" w:rsidR="00BD6C6D" w:rsidRPr="00781F4C" w:rsidRDefault="00D91F6F" w:rsidP="006D2EBD">
      <w:pPr>
        <w:pStyle w:val="NoSpacing"/>
        <w:spacing w:after="240"/>
        <w:ind w:firstLine="284"/>
        <w:jc w:val="both"/>
        <w:rPr>
          <w:rFonts w:ascii="Times New Roman" w:eastAsia="Calibri" w:hAnsi="Times New Roman" w:cs="Times New Roman"/>
          <w:sz w:val="20"/>
          <w:szCs w:val="20"/>
          <w:lang w:eastAsia="pt-PT"/>
        </w:rPr>
      </w:pPr>
      <w:r w:rsidRPr="00781F4C">
        <w:rPr>
          <w:rFonts w:ascii="Times New Roman" w:eastAsia="Calibri" w:hAnsi="Times New Roman" w:cs="Times New Roman"/>
          <w:sz w:val="20"/>
          <w:szCs w:val="20"/>
          <w:lang w:eastAsia="pt-PT"/>
        </w:rPr>
        <w:t>The e</w:t>
      </w:r>
      <w:r w:rsidR="001A5B23" w:rsidRPr="00781F4C">
        <w:rPr>
          <w:rFonts w:ascii="Times New Roman" w:eastAsia="Calibri" w:hAnsi="Times New Roman" w:cs="Times New Roman"/>
          <w:sz w:val="20"/>
          <w:szCs w:val="20"/>
          <w:lang w:eastAsia="pt-PT"/>
        </w:rPr>
        <w:t>conometric theory states that logarithmic model variables must be used to eliminate possible heterogeneities. Therefore, it became logarithmic and our model follows Equation</w:t>
      </w:r>
      <w:r w:rsidR="00486E53" w:rsidRPr="00781F4C">
        <w:rPr>
          <w:rFonts w:ascii="Times New Roman" w:eastAsia="Calibri" w:hAnsi="Times New Roman" w:cs="Times New Roman"/>
          <w:sz w:val="20"/>
          <w:szCs w:val="20"/>
          <w:lang w:eastAsia="pt-PT"/>
        </w:rPr>
        <w:t xml:space="preserve"> (3</w:t>
      </w:r>
      <w:r w:rsidR="001A5B23" w:rsidRPr="00781F4C">
        <w:rPr>
          <w:rFonts w:ascii="Times New Roman" w:eastAsia="Calibri" w:hAnsi="Times New Roman" w:cs="Times New Roman"/>
          <w:sz w:val="20"/>
          <w:szCs w:val="20"/>
          <w:lang w:eastAsia="pt-PT"/>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7"/>
        <w:gridCol w:w="583"/>
      </w:tblGrid>
      <w:tr w:rsidR="005737CD" w:rsidRPr="00781F4C" w14:paraId="534D1442" w14:textId="77777777" w:rsidTr="005E3DA5">
        <w:trPr>
          <w:trHeight w:val="193"/>
        </w:trPr>
        <w:tc>
          <w:tcPr>
            <w:tcW w:w="8789" w:type="dxa"/>
            <w:vAlign w:val="center"/>
          </w:tcPr>
          <w:p w14:paraId="4703BE0C" w14:textId="5B6B8D0D" w:rsidR="0085224C" w:rsidRPr="00781F4C" w:rsidRDefault="00000000" w:rsidP="0085224C">
            <w:pPr>
              <w:bidi/>
              <w:jc w:val="center"/>
              <w:rPr>
                <w:rFonts w:eastAsia="Calibri"/>
                <w:sz w:val="20"/>
                <w:szCs w:val="20"/>
                <w:lang w:val="en-US" w:bidi="fa-IR"/>
              </w:rPr>
            </w:pPr>
            <m:oMathPara>
              <m:oMath>
                <m:sSub>
                  <m:sSubPr>
                    <m:ctrlPr>
                      <w:rPr>
                        <w:rFonts w:ascii="Cambria Math" w:hAnsi="Cambria Math"/>
                        <w:iCs/>
                        <w:sz w:val="20"/>
                        <w:szCs w:val="20"/>
                        <w:lang w:val="en-US" w:bidi="fa-IR"/>
                      </w:rPr>
                    </m:ctrlPr>
                  </m:sSubPr>
                  <m:e>
                    <m:r>
                      <w:rPr>
                        <w:rFonts w:ascii="Cambria Math" w:hAnsi="Cambria Math"/>
                        <w:sz w:val="20"/>
                        <w:szCs w:val="20"/>
                        <w:lang w:val="en-US" w:bidi="fa-IR"/>
                      </w:rPr>
                      <m:t>LEFP</m:t>
                    </m:r>
                  </m:e>
                  <m:sub>
                    <m:r>
                      <w:rPr>
                        <w:rFonts w:ascii="Cambria Math" w:hAnsi="Cambria Math"/>
                        <w:sz w:val="20"/>
                        <w:szCs w:val="20"/>
                        <w:lang w:val="en-US" w:bidi="fa-IR"/>
                      </w:rPr>
                      <m:t>it</m:t>
                    </m:r>
                  </m:sub>
                </m:sSub>
                <m:r>
                  <w:rPr>
                    <w:rFonts w:ascii="Cambria Math" w:hAnsi="Cambria Math"/>
                    <w:sz w:val="20"/>
                    <w:szCs w:val="20"/>
                    <w:lang w:val="en-US" w:bidi="fa-IR"/>
                  </w:rPr>
                  <m:t>=La+</m:t>
                </m:r>
                <m:sSub>
                  <m:sSubPr>
                    <m:ctrlPr>
                      <w:rPr>
                        <w:rFonts w:ascii="Cambria Math" w:hAnsi="Cambria Math"/>
                        <w:i/>
                        <w:iCs/>
                        <w:sz w:val="20"/>
                        <w:szCs w:val="20"/>
                        <w:lang w:val="en-US" w:bidi="fa-IR"/>
                      </w:rPr>
                    </m:ctrlPr>
                  </m:sSubPr>
                  <m:e>
                    <m:r>
                      <w:rPr>
                        <w:rFonts w:ascii="Cambria Math" w:hAnsi="Cambria Math"/>
                        <w:sz w:val="20"/>
                        <w:szCs w:val="20"/>
                        <w:lang w:val="en-US" w:bidi="fa-IR"/>
                      </w:rPr>
                      <m:t>β</m:t>
                    </m:r>
                  </m:e>
                  <m:sub>
                    <m:r>
                      <w:rPr>
                        <w:rFonts w:ascii="Cambria Math" w:hAnsi="Cambria Math"/>
                        <w:sz w:val="20"/>
                        <w:szCs w:val="20"/>
                        <w:lang w:val="en-US" w:bidi="fa-IR"/>
                      </w:rPr>
                      <m:t>1</m:t>
                    </m:r>
                  </m:sub>
                </m:sSub>
                <m:sSub>
                  <m:sSubPr>
                    <m:ctrlPr>
                      <w:rPr>
                        <w:rFonts w:ascii="Cambria Math" w:hAnsi="Cambria Math"/>
                        <w:i/>
                        <w:iCs/>
                        <w:sz w:val="20"/>
                        <w:szCs w:val="20"/>
                        <w:lang w:val="en-US" w:bidi="fa-IR"/>
                      </w:rPr>
                    </m:ctrlPr>
                  </m:sSubPr>
                  <m:e>
                    <m:r>
                      <w:rPr>
                        <w:rFonts w:ascii="Cambria Math" w:hAnsi="Cambria Math"/>
                        <w:sz w:val="20"/>
                        <w:szCs w:val="20"/>
                        <w:lang w:val="en-US" w:bidi="fa-IR"/>
                      </w:rPr>
                      <m:t>LEQ</m:t>
                    </m:r>
                  </m:e>
                  <m:sub>
                    <m:r>
                      <w:rPr>
                        <w:rFonts w:ascii="Cambria Math" w:hAnsi="Cambria Math"/>
                        <w:sz w:val="20"/>
                        <w:szCs w:val="20"/>
                        <w:lang w:val="en-US" w:bidi="fa-IR"/>
                      </w:rPr>
                      <m:t>it</m:t>
                    </m:r>
                  </m:sub>
                </m:sSub>
                <m:r>
                  <w:rPr>
                    <w:rFonts w:ascii="Cambria Math" w:hAnsi="Cambria Math"/>
                    <w:sz w:val="20"/>
                    <w:szCs w:val="20"/>
                    <w:lang w:val="en-US" w:bidi="fa-IR"/>
                  </w:rPr>
                  <m:t>+</m:t>
                </m:r>
                <m:sSub>
                  <m:sSubPr>
                    <m:ctrlPr>
                      <w:rPr>
                        <w:rFonts w:ascii="Cambria Math" w:hAnsi="Cambria Math"/>
                        <w:i/>
                        <w:iCs/>
                        <w:sz w:val="20"/>
                        <w:szCs w:val="20"/>
                        <w:lang w:val="en-US" w:bidi="fa-IR"/>
                      </w:rPr>
                    </m:ctrlPr>
                  </m:sSubPr>
                  <m:e>
                    <m:r>
                      <w:rPr>
                        <w:rFonts w:ascii="Cambria Math" w:hAnsi="Cambria Math"/>
                        <w:sz w:val="20"/>
                        <w:szCs w:val="20"/>
                        <w:lang w:val="en-US" w:bidi="fa-IR"/>
                      </w:rPr>
                      <m:t>β</m:t>
                    </m:r>
                  </m:e>
                  <m:sub>
                    <m:r>
                      <w:rPr>
                        <w:rFonts w:ascii="Cambria Math" w:hAnsi="Cambria Math"/>
                        <w:sz w:val="20"/>
                        <w:szCs w:val="20"/>
                        <w:lang w:val="en-US" w:bidi="fa-IR"/>
                      </w:rPr>
                      <m:t>2</m:t>
                    </m:r>
                  </m:sub>
                </m:sSub>
                <m:sSub>
                  <m:sSubPr>
                    <m:ctrlPr>
                      <w:rPr>
                        <w:rFonts w:ascii="Cambria Math" w:hAnsi="Cambria Math"/>
                        <w:i/>
                        <w:iCs/>
                        <w:sz w:val="20"/>
                        <w:szCs w:val="20"/>
                        <w:lang w:val="en-US" w:bidi="fa-IR"/>
                      </w:rPr>
                    </m:ctrlPr>
                  </m:sSubPr>
                  <m:e>
                    <m:r>
                      <w:rPr>
                        <w:rFonts w:ascii="Cambria Math" w:hAnsi="Cambria Math"/>
                        <w:sz w:val="20"/>
                        <w:szCs w:val="20"/>
                        <w:lang w:val="en-US" w:bidi="fa-IR"/>
                      </w:rPr>
                      <m:t>LTO</m:t>
                    </m:r>
                  </m:e>
                  <m:sub>
                    <m:r>
                      <w:rPr>
                        <w:rFonts w:ascii="Cambria Math" w:hAnsi="Cambria Math"/>
                        <w:sz w:val="20"/>
                        <w:szCs w:val="20"/>
                        <w:lang w:val="en-US" w:bidi="fa-IR"/>
                      </w:rPr>
                      <m:t>it</m:t>
                    </m:r>
                  </m:sub>
                </m:sSub>
                <m:r>
                  <w:rPr>
                    <w:rFonts w:ascii="Cambria Math" w:hAnsi="Cambria Math"/>
                    <w:sz w:val="20"/>
                    <w:szCs w:val="20"/>
                    <w:lang w:val="en-US" w:bidi="fa-IR"/>
                  </w:rPr>
                  <m:t>+</m:t>
                </m:r>
                <m:sSub>
                  <m:sSubPr>
                    <m:ctrlPr>
                      <w:rPr>
                        <w:rFonts w:ascii="Cambria Math" w:hAnsi="Cambria Math"/>
                        <w:i/>
                        <w:iCs/>
                        <w:sz w:val="20"/>
                        <w:szCs w:val="20"/>
                        <w:lang w:val="en-US" w:bidi="fa-IR"/>
                      </w:rPr>
                    </m:ctrlPr>
                  </m:sSubPr>
                  <m:e>
                    <m:r>
                      <w:rPr>
                        <w:rFonts w:ascii="Cambria Math" w:hAnsi="Cambria Math"/>
                        <w:sz w:val="20"/>
                        <w:szCs w:val="20"/>
                        <w:lang w:val="en-US" w:bidi="fa-IR"/>
                      </w:rPr>
                      <m:t>β</m:t>
                    </m:r>
                  </m:e>
                  <m:sub>
                    <m:r>
                      <w:rPr>
                        <w:rFonts w:ascii="Cambria Math" w:hAnsi="Cambria Math"/>
                        <w:sz w:val="20"/>
                        <w:szCs w:val="20"/>
                        <w:lang w:val="en-US" w:bidi="fa-IR"/>
                      </w:rPr>
                      <m:t>3</m:t>
                    </m:r>
                  </m:sub>
                </m:sSub>
                <m:sSub>
                  <m:sSubPr>
                    <m:ctrlPr>
                      <w:rPr>
                        <w:rFonts w:ascii="Cambria Math" w:hAnsi="Cambria Math"/>
                        <w:i/>
                        <w:iCs/>
                        <w:sz w:val="20"/>
                        <w:szCs w:val="20"/>
                        <w:lang w:val="en-US" w:bidi="fa-IR"/>
                      </w:rPr>
                    </m:ctrlPr>
                  </m:sSubPr>
                  <m:e>
                    <m:r>
                      <w:rPr>
                        <w:rFonts w:ascii="Cambria Math" w:hAnsi="Cambria Math"/>
                        <w:sz w:val="20"/>
                        <w:szCs w:val="20"/>
                        <w:lang w:val="en-US" w:bidi="fa-IR"/>
                      </w:rPr>
                      <m:t>LUR</m:t>
                    </m:r>
                  </m:e>
                  <m:sub>
                    <m:r>
                      <w:rPr>
                        <w:rFonts w:ascii="Cambria Math" w:hAnsi="Cambria Math"/>
                        <w:sz w:val="20"/>
                        <w:szCs w:val="20"/>
                        <w:lang w:val="en-US" w:bidi="fa-IR"/>
                      </w:rPr>
                      <m:t>it</m:t>
                    </m:r>
                  </m:sub>
                </m:sSub>
                <m:r>
                  <w:rPr>
                    <w:rFonts w:ascii="Cambria Math" w:hAnsi="Cambria Math"/>
                    <w:sz w:val="20"/>
                    <w:szCs w:val="20"/>
                    <w:lang w:val="en-US" w:bidi="fa-IR"/>
                  </w:rPr>
                  <m:t>+</m:t>
                </m:r>
                <m:sSub>
                  <m:sSubPr>
                    <m:ctrlPr>
                      <w:rPr>
                        <w:rFonts w:ascii="Cambria Math" w:hAnsi="Cambria Math"/>
                        <w:i/>
                        <w:iCs/>
                        <w:sz w:val="20"/>
                        <w:szCs w:val="20"/>
                        <w:lang w:val="en-US" w:bidi="fa-IR"/>
                      </w:rPr>
                    </m:ctrlPr>
                  </m:sSubPr>
                  <m:e>
                    <m:r>
                      <w:rPr>
                        <w:rFonts w:ascii="Cambria Math" w:hAnsi="Cambria Math"/>
                        <w:sz w:val="20"/>
                        <w:szCs w:val="20"/>
                        <w:lang w:val="en-US" w:bidi="fa-IR"/>
                      </w:rPr>
                      <m:t>β</m:t>
                    </m:r>
                  </m:e>
                  <m:sub>
                    <m:r>
                      <w:rPr>
                        <w:rFonts w:ascii="Cambria Math" w:hAnsi="Cambria Math"/>
                        <w:sz w:val="20"/>
                        <w:szCs w:val="20"/>
                        <w:lang w:val="en-US" w:bidi="fa-IR"/>
                      </w:rPr>
                      <m:t>4</m:t>
                    </m:r>
                  </m:sub>
                </m:sSub>
                <m:sSub>
                  <m:sSubPr>
                    <m:ctrlPr>
                      <w:rPr>
                        <w:rFonts w:ascii="Cambria Math" w:hAnsi="Cambria Math"/>
                        <w:i/>
                        <w:iCs/>
                        <w:sz w:val="20"/>
                        <w:szCs w:val="20"/>
                        <w:lang w:val="en-US" w:bidi="fa-IR"/>
                      </w:rPr>
                    </m:ctrlPr>
                  </m:sSubPr>
                  <m:e>
                    <m:r>
                      <w:rPr>
                        <w:rFonts w:ascii="Cambria Math" w:hAnsi="Cambria Math"/>
                        <w:sz w:val="20"/>
                        <w:szCs w:val="20"/>
                        <w:lang w:val="en-US" w:bidi="fa-IR"/>
                      </w:rPr>
                      <m:t>LGDP</m:t>
                    </m:r>
                  </m:e>
                  <m:sub>
                    <m:r>
                      <w:rPr>
                        <w:rFonts w:ascii="Cambria Math" w:hAnsi="Cambria Math"/>
                        <w:sz w:val="20"/>
                        <w:szCs w:val="20"/>
                        <w:lang w:val="en-US" w:bidi="fa-IR"/>
                      </w:rPr>
                      <m:t>IT</m:t>
                    </m:r>
                  </m:sub>
                </m:sSub>
                <m:r>
                  <w:rPr>
                    <w:rFonts w:ascii="Cambria Math" w:hAnsi="Cambria Math"/>
                    <w:sz w:val="20"/>
                    <w:szCs w:val="20"/>
                    <w:lang w:val="en-US" w:bidi="fa-IR"/>
                  </w:rPr>
                  <m:t>+</m:t>
                </m:r>
                <m:sSub>
                  <m:sSubPr>
                    <m:ctrlPr>
                      <w:rPr>
                        <w:rFonts w:ascii="Cambria Math" w:hAnsi="Cambria Math"/>
                        <w:i/>
                        <w:iCs/>
                        <w:sz w:val="20"/>
                        <w:szCs w:val="20"/>
                        <w:lang w:val="en-US" w:bidi="fa-IR"/>
                      </w:rPr>
                    </m:ctrlPr>
                  </m:sSubPr>
                  <m:e>
                    <m:r>
                      <w:rPr>
                        <w:rFonts w:ascii="Cambria Math" w:hAnsi="Cambria Math"/>
                        <w:sz w:val="20"/>
                        <w:szCs w:val="20"/>
                        <w:lang w:val="en-US" w:bidi="fa-IR"/>
                      </w:rPr>
                      <m:t>β</m:t>
                    </m:r>
                  </m:e>
                  <m:sub>
                    <m:r>
                      <w:rPr>
                        <w:rFonts w:ascii="Cambria Math" w:hAnsi="Cambria Math"/>
                        <w:sz w:val="20"/>
                        <w:szCs w:val="20"/>
                        <w:lang w:val="en-US" w:bidi="fa-IR"/>
                      </w:rPr>
                      <m:t>5</m:t>
                    </m:r>
                  </m:sub>
                </m:sSub>
                <m:r>
                  <w:rPr>
                    <w:rFonts w:ascii="Cambria Math" w:hAnsi="Cambria Math"/>
                    <w:sz w:val="20"/>
                    <w:szCs w:val="20"/>
                    <w:lang w:val="en-US" w:bidi="fa-IR"/>
                  </w:rPr>
                  <m:t>L</m:t>
                </m:r>
                <m:sSub>
                  <m:sSubPr>
                    <m:ctrlPr>
                      <w:rPr>
                        <w:rFonts w:ascii="Cambria Math" w:hAnsi="Cambria Math"/>
                        <w:i/>
                        <w:iCs/>
                        <w:sz w:val="20"/>
                        <w:szCs w:val="20"/>
                        <w:lang w:val="en-US" w:bidi="fa-IR"/>
                      </w:rPr>
                    </m:ctrlPr>
                  </m:sSubPr>
                  <m:e>
                    <m:r>
                      <w:rPr>
                        <w:rFonts w:ascii="Cambria Math" w:hAnsi="Cambria Math"/>
                        <w:sz w:val="20"/>
                        <w:szCs w:val="20"/>
                        <w:lang w:val="en-US" w:bidi="fa-IR"/>
                      </w:rPr>
                      <m:t>FR</m:t>
                    </m:r>
                  </m:e>
                  <m:sub>
                    <m:r>
                      <w:rPr>
                        <w:rFonts w:ascii="Cambria Math" w:hAnsi="Cambria Math"/>
                        <w:sz w:val="20"/>
                        <w:szCs w:val="20"/>
                        <w:lang w:val="en-US" w:bidi="fa-IR"/>
                      </w:rPr>
                      <m:t>it</m:t>
                    </m:r>
                  </m:sub>
                </m:sSub>
              </m:oMath>
            </m:oMathPara>
          </w:p>
          <w:p w14:paraId="759EB44A" w14:textId="653C85EB" w:rsidR="00BD6C6D" w:rsidRPr="00781F4C" w:rsidRDefault="0085224C" w:rsidP="00372EF5">
            <w:pPr>
              <w:bidi/>
              <w:rPr>
                <w:rFonts w:cs="B Mitra"/>
                <w:iCs/>
                <w:sz w:val="20"/>
                <w:szCs w:val="20"/>
                <w:lang w:val="en-US" w:bidi="fa-IR"/>
              </w:rPr>
            </w:pPr>
            <m:oMathPara>
              <m:oMath>
                <m:r>
                  <w:rPr>
                    <w:rFonts w:ascii="Cambria Math" w:hAnsi="Cambria Math"/>
                    <w:sz w:val="20"/>
                    <w:szCs w:val="20"/>
                    <w:lang w:val="en-US" w:bidi="fa-IR"/>
                  </w:rPr>
                  <m:t>+</m:t>
                </m:r>
                <m:sSub>
                  <m:sSubPr>
                    <m:ctrlPr>
                      <w:rPr>
                        <w:rFonts w:ascii="Cambria Math" w:hAnsi="Cambria Math"/>
                        <w:i/>
                        <w:iCs/>
                        <w:sz w:val="20"/>
                        <w:szCs w:val="20"/>
                        <w:lang w:val="en-US" w:bidi="fa-IR"/>
                      </w:rPr>
                    </m:ctrlPr>
                  </m:sSubPr>
                  <m:e>
                    <m:r>
                      <w:rPr>
                        <w:rFonts w:ascii="Cambria Math" w:hAnsi="Cambria Math"/>
                        <w:sz w:val="20"/>
                        <w:szCs w:val="20"/>
                        <w:lang w:val="en-US" w:bidi="fa-IR"/>
                      </w:rPr>
                      <m:t>δ</m:t>
                    </m:r>
                  </m:e>
                  <m:sub>
                    <m:r>
                      <w:rPr>
                        <w:rFonts w:ascii="Cambria Math" w:hAnsi="Cambria Math"/>
                        <w:sz w:val="20"/>
                        <w:szCs w:val="20"/>
                        <w:lang w:val="en-US" w:bidi="fa-IR"/>
                      </w:rPr>
                      <m:t>it.</m:t>
                    </m:r>
                  </m:sub>
                </m:sSub>
              </m:oMath>
            </m:oMathPara>
          </w:p>
        </w:tc>
        <w:tc>
          <w:tcPr>
            <w:tcW w:w="583" w:type="dxa"/>
            <w:vAlign w:val="center"/>
          </w:tcPr>
          <w:p w14:paraId="6477643B" w14:textId="6173851B" w:rsidR="00BD6C6D" w:rsidRPr="00781F4C" w:rsidRDefault="00486E53" w:rsidP="00372EF5">
            <w:pPr>
              <w:pStyle w:val="NoSpacing"/>
              <w:jc w:val="both"/>
              <w:rPr>
                <w:rFonts w:asciiTheme="majorBidi" w:hAnsiTheme="majorBidi" w:cstheme="majorBidi"/>
                <w:sz w:val="20"/>
                <w:szCs w:val="20"/>
              </w:rPr>
            </w:pPr>
            <w:r w:rsidRPr="00781F4C">
              <w:rPr>
                <w:rFonts w:asciiTheme="majorBidi" w:hAnsiTheme="majorBidi" w:cstheme="majorBidi"/>
                <w:sz w:val="20"/>
                <w:szCs w:val="20"/>
              </w:rPr>
              <w:t>(3</w:t>
            </w:r>
            <w:r w:rsidR="00BD6C6D" w:rsidRPr="00781F4C">
              <w:rPr>
                <w:rFonts w:asciiTheme="majorBidi" w:hAnsiTheme="majorBidi" w:cstheme="majorBidi"/>
                <w:sz w:val="20"/>
                <w:szCs w:val="20"/>
              </w:rPr>
              <w:t>)</w:t>
            </w:r>
          </w:p>
        </w:tc>
      </w:tr>
    </w:tbl>
    <w:p w14:paraId="3FC407B1" w14:textId="3D9D2D08" w:rsidR="00355C62" w:rsidRPr="00781F4C" w:rsidRDefault="00355C62" w:rsidP="006D2EBD">
      <w:pPr>
        <w:pStyle w:val="NoSpacing"/>
        <w:spacing w:after="240"/>
        <w:ind w:firstLine="284"/>
        <w:jc w:val="both"/>
        <w:rPr>
          <w:rFonts w:ascii="Times New Roman" w:eastAsia="Calibri" w:hAnsi="Times New Roman" w:cs="Times New Roman"/>
          <w:sz w:val="20"/>
          <w:szCs w:val="20"/>
          <w:lang w:eastAsia="pt-PT"/>
        </w:rPr>
      </w:pPr>
      <w:r w:rsidRPr="00781F4C">
        <w:rPr>
          <w:rFonts w:ascii="Times New Roman" w:eastAsia="Calibri" w:hAnsi="Times New Roman" w:cs="Times New Roman"/>
          <w:sz w:val="20"/>
          <w:szCs w:val="20"/>
          <w:lang w:eastAsia="pt-PT"/>
        </w:rPr>
        <w:t>W</w:t>
      </w:r>
      <w:r w:rsidR="00DE6EDE" w:rsidRPr="00781F4C">
        <w:rPr>
          <w:rFonts w:ascii="Times New Roman" w:eastAsia="Calibri" w:hAnsi="Times New Roman" w:cs="Times New Roman"/>
          <w:sz w:val="20"/>
          <w:szCs w:val="20"/>
          <w:lang w:eastAsia="pt-PT"/>
        </w:rPr>
        <w:t>here</w:t>
      </w:r>
      <w:r w:rsidR="000D3C21" w:rsidRPr="00781F4C">
        <w:rPr>
          <w:rFonts w:ascii="Times New Roman" w:eastAsia="Calibri" w:hAnsi="Times New Roman" w:cs="Times New Roman"/>
          <w:sz w:val="20"/>
          <w:szCs w:val="20"/>
          <w:lang w:eastAsia="pt-PT"/>
        </w:rPr>
        <w:t xml:space="preserve"> </w:t>
      </w:r>
      <w:r w:rsidRPr="00781F4C">
        <w:rPr>
          <w:rFonts w:ascii="Times New Roman" w:eastAsia="Calibri" w:hAnsi="Times New Roman" w:cs="Times New Roman"/>
          <w:sz w:val="20"/>
          <w:szCs w:val="20"/>
          <w:lang w:eastAsia="pt-PT"/>
        </w:rPr>
        <w:t>EFP</w:t>
      </w:r>
      <w:r w:rsidR="00DE6EDE" w:rsidRPr="00781F4C">
        <w:rPr>
          <w:rFonts w:ascii="Times New Roman" w:eastAsia="Calibri" w:hAnsi="Times New Roman" w:cs="Times New Roman"/>
          <w:sz w:val="20"/>
          <w:szCs w:val="20"/>
          <w:lang w:eastAsia="pt-PT"/>
        </w:rPr>
        <w:t xml:space="preserve"> represents ecological footprint </w:t>
      </w:r>
      <w:r w:rsidR="000829B8" w:rsidRPr="00781F4C">
        <w:rPr>
          <w:rFonts w:ascii="Times New Roman" w:eastAsia="Calibri" w:hAnsi="Times New Roman" w:cs="Times New Roman"/>
          <w:sz w:val="20"/>
          <w:szCs w:val="20"/>
          <w:lang w:eastAsia="pt-PT"/>
        </w:rPr>
        <w:t>measured in global hectares</w:t>
      </w:r>
      <w:r w:rsidR="00DE6EDE" w:rsidRPr="00781F4C">
        <w:rPr>
          <w:rFonts w:ascii="Times New Roman" w:eastAsia="Calibri" w:hAnsi="Times New Roman" w:cs="Times New Roman"/>
          <w:sz w:val="20"/>
          <w:szCs w:val="20"/>
          <w:lang w:eastAsia="pt-PT"/>
        </w:rPr>
        <w:t xml:space="preserve">; </w:t>
      </w:r>
      <w:r w:rsidRPr="00781F4C">
        <w:rPr>
          <w:rFonts w:ascii="Times New Roman" w:eastAsia="Calibri" w:hAnsi="Times New Roman" w:cs="Times New Roman"/>
          <w:sz w:val="20"/>
          <w:szCs w:val="20"/>
          <w:lang w:eastAsia="pt-PT"/>
        </w:rPr>
        <w:t>EQ is export quality</w:t>
      </w:r>
      <w:r w:rsidR="00DE6EDE" w:rsidRPr="00781F4C">
        <w:rPr>
          <w:rFonts w:ascii="Times New Roman" w:eastAsia="Calibri" w:hAnsi="Times New Roman" w:cs="Times New Roman"/>
          <w:sz w:val="20"/>
          <w:szCs w:val="20"/>
          <w:lang w:eastAsia="pt-PT"/>
        </w:rPr>
        <w:t xml:space="preserve">; </w:t>
      </w:r>
      <w:r w:rsidRPr="00781F4C">
        <w:rPr>
          <w:rFonts w:ascii="Times New Roman" w:eastAsia="Calibri" w:hAnsi="Times New Roman" w:cs="Times New Roman"/>
          <w:sz w:val="20"/>
          <w:szCs w:val="20"/>
          <w:lang w:eastAsia="pt-PT"/>
        </w:rPr>
        <w:t xml:space="preserve">TO is trade openness; UR is urban population (in % of the total population); </w:t>
      </w:r>
      <w:r w:rsidR="00DE6EDE" w:rsidRPr="00781F4C">
        <w:rPr>
          <w:rFonts w:ascii="Times New Roman" w:eastAsia="Calibri" w:hAnsi="Times New Roman" w:cs="Times New Roman"/>
          <w:sz w:val="20"/>
          <w:szCs w:val="20"/>
          <w:lang w:eastAsia="pt-PT"/>
        </w:rPr>
        <w:t xml:space="preserve">GDP is Gross Domestic Product; </w:t>
      </w:r>
      <w:r w:rsidRPr="00781F4C">
        <w:rPr>
          <w:rFonts w:ascii="Times New Roman" w:eastAsia="Calibri" w:hAnsi="Times New Roman" w:cs="Times New Roman"/>
          <w:sz w:val="20"/>
          <w:szCs w:val="20"/>
          <w:lang w:eastAsia="pt-PT"/>
        </w:rPr>
        <w:t>FR</w:t>
      </w:r>
      <w:r w:rsidR="00DE6EDE" w:rsidRPr="00781F4C">
        <w:rPr>
          <w:rFonts w:ascii="Times New Roman" w:eastAsia="Calibri" w:hAnsi="Times New Roman" w:cs="Times New Roman"/>
          <w:sz w:val="20"/>
          <w:szCs w:val="20"/>
          <w:lang w:eastAsia="pt-PT"/>
        </w:rPr>
        <w:t xml:space="preserve"> denotes </w:t>
      </w:r>
      <w:r w:rsidR="00575D26" w:rsidRPr="00781F4C">
        <w:rPr>
          <w:rFonts w:ascii="Times New Roman" w:eastAsia="Calibri" w:hAnsi="Times New Roman" w:cs="Times New Roman"/>
          <w:sz w:val="20"/>
          <w:szCs w:val="20"/>
          <w:lang w:eastAsia="pt-PT"/>
        </w:rPr>
        <w:t xml:space="preserve">fertility </w:t>
      </w:r>
      <w:r w:rsidRPr="00781F4C">
        <w:rPr>
          <w:rFonts w:ascii="Times New Roman" w:eastAsia="Calibri" w:hAnsi="Times New Roman" w:cs="Times New Roman"/>
          <w:sz w:val="20"/>
          <w:szCs w:val="20"/>
          <w:lang w:eastAsia="pt-PT"/>
        </w:rPr>
        <w:t>rate</w:t>
      </w:r>
      <w:r w:rsidR="00A31C1C" w:rsidRPr="00781F4C">
        <w:rPr>
          <w:rFonts w:ascii="Times New Roman" w:eastAsia="Calibri" w:hAnsi="Times New Roman" w:cs="Times New Roman"/>
          <w:sz w:val="20"/>
          <w:szCs w:val="20"/>
          <w:lang w:eastAsia="pt-PT"/>
        </w:rPr>
        <w:t xml:space="preserve"> </w:t>
      </w:r>
      <w:r w:rsidRPr="00781F4C">
        <w:rPr>
          <w:rFonts w:ascii="Times New Roman" w:eastAsia="Calibri" w:hAnsi="Times New Roman" w:cs="Times New Roman"/>
          <w:sz w:val="20"/>
          <w:szCs w:val="20"/>
          <w:lang w:eastAsia="pt-PT"/>
        </w:rPr>
        <w:t>(births per woman)</w:t>
      </w:r>
      <w:r w:rsidR="00A31C1C" w:rsidRPr="00781F4C">
        <w:rPr>
          <w:rFonts w:ascii="Times New Roman" w:eastAsia="Calibri" w:hAnsi="Times New Roman" w:cs="Times New Roman"/>
          <w:sz w:val="20"/>
          <w:szCs w:val="20"/>
          <w:lang w:eastAsia="pt-PT"/>
        </w:rPr>
        <w:t>.</w:t>
      </w:r>
    </w:p>
    <w:p w14:paraId="28BD08A6" w14:textId="729722F5" w:rsidR="003D6613" w:rsidRPr="00781F4C" w:rsidRDefault="00BD6C6D" w:rsidP="006D2EBD">
      <w:pPr>
        <w:pStyle w:val="NoSpacing"/>
        <w:spacing w:after="240"/>
        <w:ind w:firstLine="284"/>
        <w:jc w:val="both"/>
        <w:rPr>
          <w:rFonts w:ascii="Times New Roman" w:eastAsia="Calibri" w:hAnsi="Times New Roman" w:cs="Times New Roman"/>
          <w:sz w:val="20"/>
          <w:szCs w:val="20"/>
          <w:lang w:eastAsia="pt-PT"/>
        </w:rPr>
      </w:pPr>
      <w:r w:rsidRPr="00781F4C">
        <w:rPr>
          <w:rFonts w:ascii="Times New Roman" w:eastAsia="Calibri" w:hAnsi="Times New Roman" w:cs="Times New Roman"/>
          <w:sz w:val="20"/>
          <w:szCs w:val="20"/>
          <w:lang w:eastAsia="pt-PT"/>
        </w:rPr>
        <w:t>Given in this study was used panel quantile regression to measure ecological footprint, Equation (</w:t>
      </w:r>
      <w:r w:rsidR="00A31C1C" w:rsidRPr="00781F4C">
        <w:rPr>
          <w:rFonts w:ascii="Times New Roman" w:eastAsia="Calibri" w:hAnsi="Times New Roman" w:cs="Times New Roman"/>
          <w:sz w:val="20"/>
          <w:szCs w:val="20"/>
          <w:lang w:eastAsia="pt-PT"/>
        </w:rPr>
        <w:t>4</w:t>
      </w:r>
      <w:r w:rsidRPr="00781F4C">
        <w:rPr>
          <w:rFonts w:ascii="Times New Roman" w:eastAsia="Calibri" w:hAnsi="Times New Roman" w:cs="Times New Roman"/>
          <w:sz w:val="20"/>
          <w:szCs w:val="20"/>
          <w:lang w:eastAsia="pt-PT"/>
        </w:rPr>
        <w:t xml:space="preserve">) is converted to </w:t>
      </w:r>
      <w:r w:rsidR="003D6613" w:rsidRPr="00781F4C">
        <w:rPr>
          <w:rFonts w:ascii="Times New Roman" w:eastAsia="Calibri" w:hAnsi="Times New Roman" w:cs="Times New Roman"/>
          <w:sz w:val="20"/>
          <w:szCs w:val="20"/>
          <w:lang w:eastAsia="pt-PT"/>
        </w:rPr>
        <w:t>the following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561"/>
      </w:tblGrid>
      <w:tr w:rsidR="00BD6C6D" w:rsidRPr="00781F4C" w14:paraId="25DA8CE3" w14:textId="77777777" w:rsidTr="00CB766A">
        <w:trPr>
          <w:trHeight w:val="193"/>
        </w:trPr>
        <w:tc>
          <w:tcPr>
            <w:tcW w:w="8789" w:type="dxa"/>
            <w:vAlign w:val="center"/>
          </w:tcPr>
          <w:p w14:paraId="10358AFA" w14:textId="2B25025F" w:rsidR="00BD6C6D" w:rsidRPr="00781F4C" w:rsidRDefault="00000000" w:rsidP="003538FE">
            <w:pPr>
              <w:bidi/>
              <w:jc w:val="center"/>
              <w:rPr>
                <w:sz w:val="20"/>
                <w:szCs w:val="20"/>
                <w:lang w:val="en-US" w:bidi="fa-IR"/>
              </w:rPr>
            </w:pPr>
            <m:oMathPara>
              <m:oMath>
                <m:sSub>
                  <m:sSubPr>
                    <m:ctrlPr>
                      <w:rPr>
                        <w:rFonts w:ascii="Cambria Math" w:hAnsi="Cambria Math"/>
                        <w:i/>
                        <w:iCs/>
                        <w:sz w:val="20"/>
                        <w:szCs w:val="20"/>
                        <w:lang w:val="en-US" w:bidi="fa-IR"/>
                      </w:rPr>
                    </m:ctrlPr>
                  </m:sSubPr>
                  <m:e>
                    <m:r>
                      <w:rPr>
                        <w:rFonts w:ascii="Cambria Math" w:hAnsi="Cambria Math"/>
                        <w:sz w:val="20"/>
                        <w:szCs w:val="20"/>
                        <w:lang w:val="en-US" w:bidi="fa-IR"/>
                      </w:rPr>
                      <m:t>Q</m:t>
                    </m:r>
                  </m:e>
                  <m:sub>
                    <m:r>
                      <w:rPr>
                        <w:rFonts w:ascii="Cambria Math" w:hAnsi="Cambria Math"/>
                        <w:sz w:val="20"/>
                        <w:szCs w:val="20"/>
                        <w:lang w:val="en-US" w:bidi="fa-IR"/>
                      </w:rPr>
                      <m:t>τ</m:t>
                    </m:r>
                  </m:sub>
                </m:sSub>
                <m:d>
                  <m:dPr>
                    <m:ctrlPr>
                      <w:rPr>
                        <w:rFonts w:ascii="Cambria Math" w:hAnsi="Cambria Math"/>
                        <w:i/>
                        <w:iCs/>
                        <w:sz w:val="20"/>
                        <w:szCs w:val="20"/>
                        <w:lang w:val="en-US" w:bidi="fa-IR"/>
                      </w:rPr>
                    </m:ctrlPr>
                  </m:dPr>
                  <m:e>
                    <m:sSub>
                      <m:sSubPr>
                        <m:ctrlPr>
                          <w:rPr>
                            <w:rFonts w:ascii="Cambria Math" w:hAnsi="Cambria Math"/>
                            <w:i/>
                            <w:iCs/>
                            <w:sz w:val="20"/>
                            <w:szCs w:val="20"/>
                            <w:lang w:val="en-US" w:bidi="fa-IR"/>
                          </w:rPr>
                        </m:ctrlPr>
                      </m:sSubPr>
                      <m:e>
                        <m:r>
                          <w:rPr>
                            <w:rFonts w:ascii="Cambria Math" w:hAnsi="Cambria Math"/>
                            <w:sz w:val="20"/>
                            <w:szCs w:val="20"/>
                            <w:lang w:val="en-US" w:bidi="fa-IR"/>
                          </w:rPr>
                          <m:t>LEFP</m:t>
                        </m:r>
                      </m:e>
                      <m:sub>
                        <m:r>
                          <w:rPr>
                            <w:rFonts w:ascii="Cambria Math" w:hAnsi="Cambria Math"/>
                            <w:sz w:val="20"/>
                            <w:szCs w:val="20"/>
                            <w:lang w:val="en-US" w:bidi="fa-IR"/>
                          </w:rPr>
                          <m:t>it</m:t>
                        </m:r>
                      </m:sub>
                    </m:sSub>
                  </m:e>
                </m:d>
                <m:r>
                  <w:rPr>
                    <w:rFonts w:ascii="Cambria Math" w:hAnsi="Cambria Math"/>
                    <w:sz w:val="20"/>
                    <w:szCs w:val="20"/>
                    <w:lang w:val="en-US" w:bidi="fa-IR"/>
                  </w:rPr>
                  <m:t>=(</m:t>
                </m:r>
                <m:sSub>
                  <m:sSubPr>
                    <m:ctrlPr>
                      <w:rPr>
                        <w:rFonts w:ascii="Cambria Math" w:hAnsi="Cambria Math"/>
                        <w:i/>
                        <w:iCs/>
                        <w:sz w:val="20"/>
                        <w:szCs w:val="20"/>
                        <w:lang w:val="en-US" w:bidi="fa-IR"/>
                      </w:rPr>
                    </m:ctrlPr>
                  </m:sSubPr>
                  <m:e>
                    <m:r>
                      <w:rPr>
                        <w:rFonts w:ascii="Cambria Math" w:hAnsi="Cambria Math"/>
                        <w:sz w:val="20"/>
                        <w:szCs w:val="20"/>
                        <w:lang w:val="en-US" w:bidi="fa-IR"/>
                      </w:rPr>
                      <m:t>La)</m:t>
                    </m:r>
                  </m:e>
                  <m:sub>
                    <m:r>
                      <w:rPr>
                        <w:rFonts w:ascii="Cambria Math" w:hAnsi="Cambria Math"/>
                        <w:sz w:val="20"/>
                        <w:szCs w:val="20"/>
                        <w:lang w:val="en-US" w:bidi="fa-IR"/>
                      </w:rPr>
                      <m:t>τ</m:t>
                    </m:r>
                  </m:sub>
                </m:sSub>
                <m:r>
                  <w:rPr>
                    <w:rFonts w:ascii="Cambria Math" w:hAnsi="Cambria Math"/>
                    <w:sz w:val="20"/>
                    <w:szCs w:val="20"/>
                    <w:lang w:val="en-US" w:bidi="fa-IR"/>
                  </w:rPr>
                  <m:t>+</m:t>
                </m:r>
                <m:sSub>
                  <m:sSubPr>
                    <m:ctrlPr>
                      <w:rPr>
                        <w:rFonts w:ascii="Cambria Math" w:hAnsi="Cambria Math"/>
                        <w:i/>
                        <w:iCs/>
                        <w:sz w:val="20"/>
                        <w:szCs w:val="20"/>
                        <w:lang w:val="en-US" w:bidi="fa-IR"/>
                      </w:rPr>
                    </m:ctrlPr>
                  </m:sSubPr>
                  <m:e>
                    <m:r>
                      <w:rPr>
                        <w:rFonts w:ascii="Cambria Math" w:hAnsi="Cambria Math"/>
                        <w:sz w:val="20"/>
                        <w:szCs w:val="20"/>
                        <w:lang w:val="en-US" w:bidi="fa-IR"/>
                      </w:rPr>
                      <m:t>β</m:t>
                    </m:r>
                  </m:e>
                  <m:sub>
                    <m:r>
                      <w:rPr>
                        <w:rFonts w:ascii="Cambria Math" w:hAnsi="Cambria Math"/>
                        <w:sz w:val="20"/>
                        <w:szCs w:val="20"/>
                        <w:lang w:val="en-US" w:bidi="fa-IR"/>
                      </w:rPr>
                      <m:t>1τ</m:t>
                    </m:r>
                  </m:sub>
                </m:sSub>
                <m:sSub>
                  <m:sSubPr>
                    <m:ctrlPr>
                      <w:rPr>
                        <w:rFonts w:ascii="Cambria Math" w:hAnsi="Cambria Math"/>
                        <w:i/>
                        <w:iCs/>
                        <w:sz w:val="20"/>
                        <w:szCs w:val="20"/>
                        <w:lang w:val="en-US" w:bidi="fa-IR"/>
                      </w:rPr>
                    </m:ctrlPr>
                  </m:sSubPr>
                  <m:e>
                    <m:r>
                      <w:rPr>
                        <w:rFonts w:ascii="Cambria Math" w:hAnsi="Cambria Math"/>
                        <w:sz w:val="20"/>
                        <w:szCs w:val="20"/>
                        <w:lang w:val="en-US" w:bidi="fa-IR"/>
                      </w:rPr>
                      <m:t>LEQ</m:t>
                    </m:r>
                  </m:e>
                  <m:sub>
                    <m:r>
                      <w:rPr>
                        <w:rFonts w:ascii="Cambria Math" w:hAnsi="Cambria Math"/>
                        <w:sz w:val="20"/>
                        <w:szCs w:val="20"/>
                        <w:lang w:val="en-US" w:bidi="fa-IR"/>
                      </w:rPr>
                      <m:t>iτ</m:t>
                    </m:r>
                  </m:sub>
                </m:sSub>
                <m:r>
                  <w:rPr>
                    <w:rFonts w:ascii="Cambria Math" w:hAnsi="Cambria Math"/>
                    <w:sz w:val="20"/>
                    <w:szCs w:val="20"/>
                    <w:lang w:val="en-US" w:bidi="fa-IR"/>
                  </w:rPr>
                  <m:t>+</m:t>
                </m:r>
                <m:sSub>
                  <m:sSubPr>
                    <m:ctrlPr>
                      <w:rPr>
                        <w:rFonts w:ascii="Cambria Math" w:hAnsi="Cambria Math"/>
                        <w:i/>
                        <w:iCs/>
                        <w:sz w:val="20"/>
                        <w:szCs w:val="20"/>
                        <w:lang w:val="en-US" w:bidi="fa-IR"/>
                      </w:rPr>
                    </m:ctrlPr>
                  </m:sSubPr>
                  <m:e>
                    <m:r>
                      <w:rPr>
                        <w:rFonts w:ascii="Cambria Math" w:hAnsi="Cambria Math"/>
                        <w:sz w:val="20"/>
                        <w:szCs w:val="20"/>
                        <w:lang w:val="en-US" w:bidi="fa-IR"/>
                      </w:rPr>
                      <m:t>β</m:t>
                    </m:r>
                  </m:e>
                  <m:sub>
                    <m:r>
                      <w:rPr>
                        <w:rFonts w:ascii="Cambria Math" w:hAnsi="Cambria Math"/>
                        <w:sz w:val="20"/>
                        <w:szCs w:val="20"/>
                        <w:lang w:val="en-US" w:bidi="fa-IR"/>
                      </w:rPr>
                      <m:t>2τ</m:t>
                    </m:r>
                  </m:sub>
                </m:sSub>
                <m:sSub>
                  <m:sSubPr>
                    <m:ctrlPr>
                      <w:rPr>
                        <w:rFonts w:ascii="Cambria Math" w:hAnsi="Cambria Math"/>
                        <w:i/>
                        <w:iCs/>
                        <w:sz w:val="20"/>
                        <w:szCs w:val="20"/>
                        <w:lang w:val="en-US" w:bidi="fa-IR"/>
                      </w:rPr>
                    </m:ctrlPr>
                  </m:sSubPr>
                  <m:e>
                    <m:r>
                      <w:rPr>
                        <w:rFonts w:ascii="Cambria Math" w:hAnsi="Cambria Math"/>
                        <w:sz w:val="20"/>
                        <w:szCs w:val="20"/>
                        <w:lang w:val="en-US" w:bidi="fa-IR"/>
                      </w:rPr>
                      <m:t>LTO</m:t>
                    </m:r>
                  </m:e>
                  <m:sub>
                    <m:r>
                      <w:rPr>
                        <w:rFonts w:ascii="Cambria Math" w:hAnsi="Cambria Math"/>
                        <w:sz w:val="20"/>
                        <w:szCs w:val="20"/>
                        <w:lang w:val="en-US" w:bidi="fa-IR"/>
                      </w:rPr>
                      <m:t>iτ</m:t>
                    </m:r>
                  </m:sub>
                </m:sSub>
                <m:r>
                  <w:rPr>
                    <w:rFonts w:ascii="Cambria Math" w:hAnsi="Cambria Math"/>
                    <w:sz w:val="20"/>
                    <w:szCs w:val="20"/>
                    <w:lang w:val="en-US" w:bidi="fa-IR"/>
                  </w:rPr>
                  <m:t>+</m:t>
                </m:r>
                <m:sSub>
                  <m:sSubPr>
                    <m:ctrlPr>
                      <w:rPr>
                        <w:rFonts w:ascii="Cambria Math" w:hAnsi="Cambria Math"/>
                        <w:i/>
                        <w:iCs/>
                        <w:sz w:val="20"/>
                        <w:szCs w:val="20"/>
                        <w:lang w:val="en-US" w:bidi="fa-IR"/>
                      </w:rPr>
                    </m:ctrlPr>
                  </m:sSubPr>
                  <m:e>
                    <m:r>
                      <w:rPr>
                        <w:rFonts w:ascii="Cambria Math" w:hAnsi="Cambria Math"/>
                        <w:sz w:val="20"/>
                        <w:szCs w:val="20"/>
                        <w:lang w:val="en-US" w:bidi="fa-IR"/>
                      </w:rPr>
                      <m:t>β</m:t>
                    </m:r>
                  </m:e>
                  <m:sub>
                    <m:r>
                      <w:rPr>
                        <w:rFonts w:ascii="Cambria Math" w:hAnsi="Cambria Math"/>
                        <w:sz w:val="20"/>
                        <w:szCs w:val="20"/>
                        <w:lang w:val="en-US" w:bidi="fa-IR"/>
                      </w:rPr>
                      <m:t>3τ</m:t>
                    </m:r>
                  </m:sub>
                </m:sSub>
                <m:sSub>
                  <m:sSubPr>
                    <m:ctrlPr>
                      <w:rPr>
                        <w:rFonts w:ascii="Cambria Math" w:hAnsi="Cambria Math"/>
                        <w:i/>
                        <w:iCs/>
                        <w:sz w:val="20"/>
                        <w:szCs w:val="20"/>
                        <w:lang w:val="en-US" w:bidi="fa-IR"/>
                      </w:rPr>
                    </m:ctrlPr>
                  </m:sSubPr>
                  <m:e>
                    <m:r>
                      <w:rPr>
                        <w:rFonts w:ascii="Cambria Math" w:hAnsi="Cambria Math"/>
                        <w:sz w:val="20"/>
                        <w:szCs w:val="20"/>
                        <w:lang w:val="en-US" w:bidi="fa-IR"/>
                      </w:rPr>
                      <m:t>LUR</m:t>
                    </m:r>
                  </m:e>
                  <m:sub>
                    <m:r>
                      <w:rPr>
                        <w:rFonts w:ascii="Cambria Math" w:hAnsi="Cambria Math"/>
                        <w:sz w:val="20"/>
                        <w:szCs w:val="20"/>
                        <w:lang w:val="en-US" w:bidi="fa-IR"/>
                      </w:rPr>
                      <m:t>iτ</m:t>
                    </m:r>
                  </m:sub>
                </m:sSub>
                <m:r>
                  <w:rPr>
                    <w:rFonts w:ascii="Cambria Math" w:hAnsi="Cambria Math"/>
                    <w:sz w:val="20"/>
                    <w:szCs w:val="20"/>
                    <w:lang w:val="en-US" w:bidi="fa-IR"/>
                  </w:rPr>
                  <m:t>+</m:t>
                </m:r>
                <m:sSub>
                  <m:sSubPr>
                    <m:ctrlPr>
                      <w:rPr>
                        <w:rFonts w:ascii="Cambria Math" w:hAnsi="Cambria Math"/>
                        <w:i/>
                        <w:iCs/>
                        <w:sz w:val="20"/>
                        <w:szCs w:val="20"/>
                        <w:lang w:val="en-US" w:bidi="fa-IR"/>
                      </w:rPr>
                    </m:ctrlPr>
                  </m:sSubPr>
                  <m:e>
                    <m:r>
                      <w:rPr>
                        <w:rFonts w:ascii="Cambria Math" w:hAnsi="Cambria Math"/>
                        <w:sz w:val="20"/>
                        <w:szCs w:val="20"/>
                        <w:lang w:val="en-US" w:bidi="fa-IR"/>
                      </w:rPr>
                      <m:t>β</m:t>
                    </m:r>
                  </m:e>
                  <m:sub>
                    <m:r>
                      <w:rPr>
                        <w:rFonts w:ascii="Cambria Math" w:hAnsi="Cambria Math"/>
                        <w:sz w:val="20"/>
                        <w:szCs w:val="20"/>
                        <w:lang w:val="en-US" w:bidi="fa-IR"/>
                      </w:rPr>
                      <m:t>4τ</m:t>
                    </m:r>
                  </m:sub>
                </m:sSub>
                <m:sSub>
                  <m:sSubPr>
                    <m:ctrlPr>
                      <w:rPr>
                        <w:rFonts w:ascii="Cambria Math" w:hAnsi="Cambria Math"/>
                        <w:i/>
                        <w:iCs/>
                        <w:sz w:val="20"/>
                        <w:szCs w:val="20"/>
                        <w:lang w:val="en-US" w:bidi="fa-IR"/>
                      </w:rPr>
                    </m:ctrlPr>
                  </m:sSubPr>
                  <m:e>
                    <m:r>
                      <w:rPr>
                        <w:rFonts w:ascii="Cambria Math" w:hAnsi="Cambria Math"/>
                        <w:sz w:val="20"/>
                        <w:szCs w:val="20"/>
                        <w:lang w:val="en-US" w:bidi="fa-IR"/>
                      </w:rPr>
                      <m:t>LGDP</m:t>
                    </m:r>
                  </m:e>
                  <m:sub>
                    <m:r>
                      <w:rPr>
                        <w:rFonts w:ascii="Cambria Math" w:hAnsi="Cambria Math"/>
                        <w:sz w:val="20"/>
                        <w:szCs w:val="20"/>
                        <w:lang w:val="en-US" w:bidi="fa-IR"/>
                      </w:rPr>
                      <m:t>iτ</m:t>
                    </m:r>
                  </m:sub>
                </m:sSub>
                <m:r>
                  <w:rPr>
                    <w:rFonts w:ascii="Cambria Math" w:hAnsi="Cambria Math"/>
                    <w:sz w:val="20"/>
                    <w:szCs w:val="20"/>
                    <w:lang w:val="en-US" w:bidi="fa-IR"/>
                  </w:rPr>
                  <m:t>+</m:t>
                </m:r>
                <m:sSub>
                  <m:sSubPr>
                    <m:ctrlPr>
                      <w:rPr>
                        <w:rFonts w:ascii="Cambria Math" w:hAnsi="Cambria Math"/>
                        <w:i/>
                        <w:iCs/>
                        <w:sz w:val="20"/>
                        <w:szCs w:val="20"/>
                        <w:lang w:val="en-US" w:bidi="fa-IR"/>
                      </w:rPr>
                    </m:ctrlPr>
                  </m:sSubPr>
                  <m:e>
                    <m:r>
                      <w:rPr>
                        <w:rFonts w:ascii="Cambria Math" w:hAnsi="Cambria Math"/>
                        <w:sz w:val="20"/>
                        <w:szCs w:val="20"/>
                        <w:lang w:val="en-US" w:bidi="fa-IR"/>
                      </w:rPr>
                      <m:t>β</m:t>
                    </m:r>
                  </m:e>
                  <m:sub>
                    <m:r>
                      <w:rPr>
                        <w:rFonts w:ascii="Cambria Math" w:hAnsi="Cambria Math"/>
                        <w:sz w:val="20"/>
                        <w:szCs w:val="20"/>
                        <w:lang w:val="en-US" w:bidi="fa-IR"/>
                      </w:rPr>
                      <m:t>5</m:t>
                    </m:r>
                  </m:sub>
                </m:sSub>
                <m:r>
                  <w:rPr>
                    <w:rFonts w:ascii="Cambria Math" w:hAnsi="Cambria Math"/>
                    <w:sz w:val="20"/>
                    <w:szCs w:val="20"/>
                    <w:lang w:val="en-US" w:bidi="fa-IR"/>
                  </w:rPr>
                  <m:t>L</m:t>
                </m:r>
                <m:sSub>
                  <m:sSubPr>
                    <m:ctrlPr>
                      <w:rPr>
                        <w:rFonts w:ascii="Cambria Math" w:hAnsi="Cambria Math"/>
                        <w:i/>
                        <w:iCs/>
                        <w:sz w:val="20"/>
                        <w:szCs w:val="20"/>
                        <w:lang w:val="en-US" w:bidi="fa-IR"/>
                      </w:rPr>
                    </m:ctrlPr>
                  </m:sSubPr>
                  <m:e>
                    <m:r>
                      <w:rPr>
                        <w:rFonts w:ascii="Cambria Math" w:hAnsi="Cambria Math"/>
                        <w:sz w:val="20"/>
                        <w:szCs w:val="20"/>
                        <w:lang w:val="en-US" w:bidi="fa-IR"/>
                      </w:rPr>
                      <m:t>FR</m:t>
                    </m:r>
                  </m:e>
                  <m:sub>
                    <m:r>
                      <w:rPr>
                        <w:rFonts w:ascii="Cambria Math" w:hAnsi="Cambria Math"/>
                        <w:sz w:val="20"/>
                        <w:szCs w:val="20"/>
                        <w:lang w:val="en-US" w:bidi="fa-IR"/>
                      </w:rPr>
                      <m:t>it</m:t>
                    </m:r>
                  </m:sub>
                </m:sSub>
                <m:r>
                  <w:rPr>
                    <w:rFonts w:ascii="Cambria Math" w:hAnsi="Cambria Math"/>
                    <w:sz w:val="20"/>
                    <w:szCs w:val="20"/>
                    <w:lang w:val="en-US" w:bidi="fa-IR"/>
                  </w:rPr>
                  <m:t>+</m:t>
                </m:r>
                <m:sSub>
                  <m:sSubPr>
                    <m:ctrlPr>
                      <w:rPr>
                        <w:rFonts w:ascii="Cambria Math" w:hAnsi="Cambria Math"/>
                        <w:i/>
                        <w:iCs/>
                        <w:sz w:val="20"/>
                        <w:szCs w:val="20"/>
                        <w:lang w:val="en-US" w:bidi="fa-IR"/>
                      </w:rPr>
                    </m:ctrlPr>
                  </m:sSubPr>
                  <m:e>
                    <m:r>
                      <w:rPr>
                        <w:rFonts w:ascii="Cambria Math" w:hAnsi="Cambria Math"/>
                        <w:sz w:val="20"/>
                        <w:szCs w:val="20"/>
                        <w:lang w:val="en-US" w:bidi="fa-IR"/>
                      </w:rPr>
                      <m:t>δ</m:t>
                    </m:r>
                  </m:e>
                  <m:sub>
                    <m:r>
                      <w:rPr>
                        <w:rFonts w:ascii="Cambria Math" w:hAnsi="Cambria Math"/>
                        <w:sz w:val="20"/>
                        <w:szCs w:val="20"/>
                        <w:lang w:val="en-US" w:bidi="fa-IR"/>
                      </w:rPr>
                      <m:t>iτ</m:t>
                    </m:r>
                  </m:sub>
                </m:sSub>
              </m:oMath>
            </m:oMathPara>
          </w:p>
        </w:tc>
        <w:tc>
          <w:tcPr>
            <w:tcW w:w="561" w:type="dxa"/>
            <w:vAlign w:val="center"/>
          </w:tcPr>
          <w:p w14:paraId="71214ED7" w14:textId="0719DBF7" w:rsidR="00BD6C6D" w:rsidRPr="00781F4C" w:rsidRDefault="009A02A0" w:rsidP="00A31C1C">
            <w:pPr>
              <w:pStyle w:val="NoSpacing"/>
              <w:jc w:val="both"/>
              <w:rPr>
                <w:rFonts w:asciiTheme="majorBidi" w:hAnsiTheme="majorBidi" w:cstheme="majorBidi"/>
                <w:sz w:val="20"/>
                <w:szCs w:val="20"/>
              </w:rPr>
            </w:pPr>
            <w:r w:rsidRPr="00781F4C">
              <w:rPr>
                <w:rFonts w:asciiTheme="majorBidi" w:hAnsiTheme="majorBidi" w:cstheme="majorBidi"/>
                <w:sz w:val="20"/>
                <w:szCs w:val="20"/>
              </w:rPr>
              <w:t>(</w:t>
            </w:r>
            <w:r w:rsidR="00A31C1C" w:rsidRPr="00781F4C">
              <w:rPr>
                <w:rFonts w:asciiTheme="majorBidi" w:hAnsiTheme="majorBidi" w:cstheme="majorBidi"/>
                <w:sz w:val="20"/>
                <w:szCs w:val="20"/>
              </w:rPr>
              <w:t>4</w:t>
            </w:r>
            <w:r w:rsidR="00BD6C6D" w:rsidRPr="00781F4C">
              <w:rPr>
                <w:rFonts w:asciiTheme="majorBidi" w:hAnsiTheme="majorBidi" w:cstheme="majorBidi"/>
                <w:sz w:val="20"/>
                <w:szCs w:val="20"/>
              </w:rPr>
              <w:t>)</w:t>
            </w:r>
          </w:p>
        </w:tc>
      </w:tr>
    </w:tbl>
    <w:p w14:paraId="4C5BA0D4" w14:textId="77777777" w:rsidR="00BD6C6D" w:rsidRPr="00781F4C" w:rsidRDefault="00BD6C6D" w:rsidP="00372EF5">
      <w:pPr>
        <w:pStyle w:val="NoSpacing"/>
        <w:jc w:val="both"/>
        <w:rPr>
          <w:rFonts w:asciiTheme="majorBidi" w:hAnsiTheme="majorBidi" w:cstheme="majorBidi"/>
        </w:rPr>
      </w:pPr>
    </w:p>
    <w:p w14:paraId="7235BFFA" w14:textId="4DF1B285" w:rsidR="006E3EC8" w:rsidRPr="00781F4C" w:rsidRDefault="00BD6C6D" w:rsidP="006D2EBD">
      <w:pPr>
        <w:pStyle w:val="NoSpacing"/>
        <w:spacing w:after="240"/>
        <w:ind w:firstLine="284"/>
        <w:jc w:val="both"/>
        <w:rPr>
          <w:rFonts w:ascii="Times New Roman" w:eastAsia="Calibri" w:hAnsi="Times New Roman" w:cs="Times New Roman"/>
          <w:sz w:val="20"/>
          <w:szCs w:val="20"/>
          <w:lang w:eastAsia="pt-PT"/>
        </w:rPr>
      </w:pPr>
      <w:r w:rsidRPr="00781F4C">
        <w:rPr>
          <w:rFonts w:ascii="Times New Roman" w:eastAsia="Calibri" w:hAnsi="Times New Roman" w:cs="Times New Roman"/>
          <w:sz w:val="20"/>
          <w:szCs w:val="20"/>
          <w:lang w:eastAsia="pt-PT"/>
        </w:rPr>
        <w:lastRenderedPageBreak/>
        <w:t xml:space="preserve">In this regard, </w:t>
      </w:r>
      <m:oMath>
        <m:sSub>
          <m:sSubPr>
            <m:ctrlPr>
              <w:rPr>
                <w:rFonts w:ascii="Cambria Math" w:eastAsia="Calibri" w:hAnsi="Cambria Math" w:cs="Times New Roman"/>
                <w:sz w:val="20"/>
                <w:szCs w:val="20"/>
                <w:lang w:eastAsia="pt-PT"/>
              </w:rPr>
            </m:ctrlPr>
          </m:sSubPr>
          <m:e>
            <m:r>
              <m:rPr>
                <m:sty m:val="p"/>
              </m:rPr>
              <w:rPr>
                <w:rFonts w:ascii="Cambria Math" w:eastAsia="Calibri" w:hAnsi="Cambria Math" w:cs="Times New Roman"/>
                <w:sz w:val="20"/>
                <w:szCs w:val="20"/>
                <w:lang w:eastAsia="pt-PT"/>
              </w:rPr>
              <m:t>Q</m:t>
            </m:r>
          </m:e>
          <m:sub>
            <m:r>
              <m:rPr>
                <m:sty m:val="p"/>
              </m:rPr>
              <w:rPr>
                <w:rFonts w:ascii="Cambria Math" w:eastAsia="Calibri" w:hAnsi="Cambria Math" w:cs="Times New Roman"/>
                <w:sz w:val="20"/>
                <w:szCs w:val="20"/>
                <w:lang w:eastAsia="pt-PT"/>
              </w:rPr>
              <m:t>r</m:t>
            </m:r>
          </m:sub>
        </m:sSub>
        <m:r>
          <w:rPr>
            <w:rFonts w:ascii="Cambria Math" w:eastAsia="Calibri" w:hAnsi="Cambria Math" w:cs="Times New Roman"/>
            <w:sz w:val="20"/>
            <w:szCs w:val="20"/>
            <w:lang w:eastAsia="pt-PT"/>
          </w:rPr>
          <m:t xml:space="preserve"> </m:t>
        </m:r>
      </m:oMath>
      <w:r w:rsidRPr="00781F4C">
        <w:rPr>
          <w:rFonts w:ascii="Times New Roman" w:eastAsia="Calibri" w:hAnsi="Times New Roman" w:cs="Times New Roman"/>
          <w:sz w:val="20"/>
          <w:szCs w:val="20"/>
          <w:lang w:eastAsia="pt-PT"/>
        </w:rPr>
        <w:t xml:space="preserve">means the estimation of the quantile regression </w:t>
      </w:r>
      <m:oMath>
        <m:r>
          <m:rPr>
            <m:sty m:val="p"/>
          </m:rPr>
          <w:rPr>
            <w:rFonts w:ascii="Cambria Math" w:eastAsia="Calibri" w:hAnsi="Cambria Math" w:cs="Times New Roman"/>
            <w:sz w:val="20"/>
            <w:szCs w:val="20"/>
            <w:lang w:eastAsia="pt-PT"/>
          </w:rPr>
          <m:t xml:space="preserve">τth </m:t>
        </m:r>
      </m:oMath>
      <w:r w:rsidRPr="00781F4C">
        <w:rPr>
          <w:rFonts w:ascii="Times New Roman" w:eastAsia="Calibri" w:hAnsi="Times New Roman" w:cs="Times New Roman"/>
          <w:sz w:val="20"/>
          <w:szCs w:val="20"/>
          <w:lang w:eastAsia="pt-PT"/>
        </w:rPr>
        <w:t>in the ecological footprint</w:t>
      </w:r>
      <w:r w:rsidR="000D3C21" w:rsidRPr="00781F4C">
        <w:rPr>
          <w:rFonts w:ascii="Times New Roman" w:eastAsia="Calibri" w:hAnsi="Times New Roman" w:cs="Times New Roman"/>
          <w:sz w:val="20"/>
          <w:szCs w:val="20"/>
          <w:lang w:eastAsia="pt-PT"/>
        </w:rPr>
        <w:t>,</w:t>
      </w:r>
      <w:r w:rsidRPr="00781F4C">
        <w:rPr>
          <w:rFonts w:ascii="Times New Roman" w:eastAsia="Calibri" w:hAnsi="Times New Roman" w:cs="Times New Roman"/>
          <w:sz w:val="20"/>
          <w:szCs w:val="20"/>
          <w:lang w:eastAsia="pt-PT"/>
        </w:rPr>
        <w:t xml:space="preserve"> and </w:t>
      </w:r>
      <m:oMath>
        <m:sSub>
          <m:sSubPr>
            <m:ctrlPr>
              <w:rPr>
                <w:rFonts w:ascii="Cambria Math" w:eastAsia="Calibri" w:hAnsi="Cambria Math" w:cs="Times New Roman"/>
                <w:sz w:val="20"/>
                <w:szCs w:val="20"/>
                <w:lang w:eastAsia="pt-PT"/>
              </w:rPr>
            </m:ctrlPr>
          </m:sSubPr>
          <m:e>
            <m:r>
              <m:rPr>
                <m:sty m:val="p"/>
              </m:rPr>
              <w:rPr>
                <w:rFonts w:ascii="Cambria Math" w:eastAsia="Calibri" w:hAnsi="Cambria Math" w:cs="Times New Roman"/>
                <w:sz w:val="20"/>
                <w:szCs w:val="20"/>
                <w:lang w:eastAsia="pt-PT"/>
              </w:rPr>
              <m:t>(la)</m:t>
            </m:r>
          </m:e>
          <m:sub>
            <m:r>
              <m:rPr>
                <m:sty m:val="p"/>
              </m:rPr>
              <w:rPr>
                <w:rFonts w:ascii="Cambria Math" w:eastAsia="Calibri" w:hAnsi="Cambria Math" w:cs="Times New Roman"/>
                <w:sz w:val="20"/>
                <w:szCs w:val="20"/>
                <w:lang w:eastAsia="pt-PT"/>
              </w:rPr>
              <m:t>r</m:t>
            </m:r>
          </m:sub>
        </m:sSub>
      </m:oMath>
      <w:r w:rsidRPr="00781F4C">
        <w:rPr>
          <w:rFonts w:ascii="Times New Roman" w:eastAsia="Calibri" w:hAnsi="Times New Roman" w:cs="Times New Roman"/>
          <w:sz w:val="20"/>
          <w:szCs w:val="20"/>
          <w:lang w:eastAsia="pt-PT"/>
        </w:rPr>
        <w:t xml:space="preserve"> is the constant component. The coefficients</w:t>
      </w:r>
      <m:oMath>
        <m:sSub>
          <m:sSubPr>
            <m:ctrlPr>
              <w:rPr>
                <w:rFonts w:ascii="Cambria Math" w:eastAsia="Calibri" w:hAnsi="Cambria Math" w:cs="Times New Roman"/>
                <w:sz w:val="20"/>
                <w:szCs w:val="20"/>
                <w:lang w:eastAsia="pt-PT"/>
              </w:rPr>
            </m:ctrlPr>
          </m:sSubPr>
          <m:e>
            <m:r>
              <m:rPr>
                <m:sty m:val="p"/>
              </m:rPr>
              <w:rPr>
                <w:rFonts w:ascii="Cambria Math" w:eastAsia="Calibri" w:hAnsi="Cambria Math" w:cs="Times New Roman"/>
                <w:sz w:val="20"/>
                <w:szCs w:val="20"/>
                <w:lang w:eastAsia="pt-PT"/>
              </w:rPr>
              <m:t xml:space="preserve"> β</m:t>
            </m:r>
          </m:e>
          <m:sub>
            <m:r>
              <m:rPr>
                <m:sty m:val="p"/>
              </m:rPr>
              <w:rPr>
                <w:rFonts w:ascii="Cambria Math" w:eastAsia="Calibri" w:hAnsi="Cambria Math" w:cs="Times New Roman"/>
                <w:sz w:val="20"/>
                <w:szCs w:val="20"/>
                <w:lang w:eastAsia="pt-PT"/>
              </w:rPr>
              <m:t>1τ</m:t>
            </m:r>
          </m:sub>
        </m:sSub>
        <m:r>
          <m:rPr>
            <m:sty m:val="p"/>
          </m:rPr>
          <w:rPr>
            <w:rFonts w:ascii="Cambria Math" w:eastAsia="Calibri" w:hAnsi="Cambria Math" w:cs="Times New Roman"/>
            <w:sz w:val="20"/>
            <w:szCs w:val="20"/>
            <w:rtl/>
            <w:lang w:eastAsia="pt-PT"/>
          </w:rPr>
          <m:t>.</m:t>
        </m:r>
        <m:sSub>
          <m:sSubPr>
            <m:ctrlPr>
              <w:rPr>
                <w:rFonts w:ascii="Cambria Math" w:eastAsia="Calibri" w:hAnsi="Cambria Math" w:cs="Times New Roman"/>
                <w:sz w:val="20"/>
                <w:szCs w:val="20"/>
                <w:lang w:eastAsia="pt-PT"/>
              </w:rPr>
            </m:ctrlPr>
          </m:sSubPr>
          <m:e>
            <m:r>
              <m:rPr>
                <m:sty m:val="p"/>
              </m:rPr>
              <w:rPr>
                <w:rFonts w:ascii="Cambria Math" w:eastAsia="Calibri" w:hAnsi="Cambria Math" w:cs="Times New Roman"/>
                <w:sz w:val="20"/>
                <w:szCs w:val="20"/>
                <w:lang w:eastAsia="pt-PT"/>
              </w:rPr>
              <m:t>β</m:t>
            </m:r>
          </m:e>
          <m:sub>
            <m:r>
              <m:rPr>
                <m:sty m:val="p"/>
              </m:rPr>
              <w:rPr>
                <w:rFonts w:ascii="Cambria Math" w:eastAsia="Calibri" w:hAnsi="Cambria Math" w:cs="Times New Roman"/>
                <w:sz w:val="20"/>
                <w:szCs w:val="20"/>
                <w:lang w:eastAsia="pt-PT"/>
              </w:rPr>
              <m:t>2τ</m:t>
            </m:r>
          </m:sub>
        </m:sSub>
        <m:r>
          <m:rPr>
            <m:sty m:val="p"/>
          </m:rPr>
          <w:rPr>
            <w:rFonts w:ascii="Cambria Math" w:eastAsia="Calibri" w:hAnsi="Cambria Math" w:cs="Times New Roman"/>
            <w:sz w:val="20"/>
            <w:szCs w:val="20"/>
            <w:lang w:eastAsia="pt-PT"/>
          </w:rPr>
          <m:t>.</m:t>
        </m:r>
        <m:sSub>
          <m:sSubPr>
            <m:ctrlPr>
              <w:rPr>
                <w:rFonts w:ascii="Cambria Math" w:eastAsia="Calibri" w:hAnsi="Cambria Math" w:cs="Times New Roman"/>
                <w:sz w:val="20"/>
                <w:szCs w:val="20"/>
                <w:lang w:eastAsia="pt-PT"/>
              </w:rPr>
            </m:ctrlPr>
          </m:sSubPr>
          <m:e>
            <m:r>
              <m:rPr>
                <m:sty m:val="p"/>
              </m:rPr>
              <w:rPr>
                <w:rFonts w:ascii="Cambria Math" w:eastAsia="Calibri" w:hAnsi="Cambria Math" w:cs="Times New Roman"/>
                <w:sz w:val="20"/>
                <w:szCs w:val="20"/>
                <w:lang w:eastAsia="pt-PT"/>
              </w:rPr>
              <m:t>β</m:t>
            </m:r>
          </m:e>
          <m:sub>
            <m:r>
              <m:rPr>
                <m:sty m:val="p"/>
              </m:rPr>
              <w:rPr>
                <w:rFonts w:ascii="Cambria Math" w:eastAsia="Calibri" w:hAnsi="Cambria Math" w:cs="Times New Roman"/>
                <w:sz w:val="20"/>
                <w:szCs w:val="20"/>
                <w:lang w:eastAsia="pt-PT"/>
              </w:rPr>
              <m:t>3τ</m:t>
            </m:r>
          </m:sub>
        </m:sSub>
        <m:r>
          <m:rPr>
            <m:sty m:val="p"/>
          </m:rPr>
          <w:rPr>
            <w:rFonts w:ascii="Cambria Math" w:eastAsia="Calibri" w:hAnsi="Cambria Math" w:cs="Times New Roman"/>
            <w:sz w:val="20"/>
            <w:szCs w:val="20"/>
            <w:lang w:eastAsia="pt-PT"/>
          </w:rPr>
          <m:t>.</m:t>
        </m:r>
        <m:sSub>
          <m:sSubPr>
            <m:ctrlPr>
              <w:rPr>
                <w:rFonts w:ascii="Cambria Math" w:eastAsia="Calibri" w:hAnsi="Cambria Math" w:cs="Times New Roman"/>
                <w:sz w:val="20"/>
                <w:szCs w:val="20"/>
                <w:lang w:eastAsia="pt-PT"/>
              </w:rPr>
            </m:ctrlPr>
          </m:sSubPr>
          <m:e>
            <m:r>
              <m:rPr>
                <m:sty m:val="p"/>
              </m:rPr>
              <w:rPr>
                <w:rFonts w:ascii="Cambria Math" w:eastAsia="Calibri" w:hAnsi="Cambria Math" w:cs="Times New Roman"/>
                <w:sz w:val="20"/>
                <w:szCs w:val="20"/>
                <w:lang w:eastAsia="pt-PT"/>
              </w:rPr>
              <m:t>β</m:t>
            </m:r>
          </m:e>
          <m:sub>
            <m:r>
              <m:rPr>
                <m:sty m:val="p"/>
              </m:rPr>
              <w:rPr>
                <w:rFonts w:ascii="Cambria Math" w:eastAsia="Calibri" w:hAnsi="Cambria Math" w:cs="Times New Roman"/>
                <w:sz w:val="20"/>
                <w:szCs w:val="20"/>
                <w:lang w:eastAsia="pt-PT"/>
              </w:rPr>
              <m:t>4τ</m:t>
            </m:r>
          </m:sub>
        </m:sSub>
        <m:r>
          <m:rPr>
            <m:sty m:val="p"/>
          </m:rPr>
          <w:rPr>
            <w:rFonts w:ascii="Cambria Math" w:eastAsia="Calibri" w:hAnsi="Cambria Math" w:cs="Times New Roman"/>
            <w:sz w:val="20"/>
            <w:szCs w:val="20"/>
            <w:lang w:eastAsia="pt-PT"/>
          </w:rPr>
          <m:t>.</m:t>
        </m:r>
        <m:sSub>
          <m:sSubPr>
            <m:ctrlPr>
              <w:rPr>
                <w:rFonts w:ascii="Cambria Math" w:eastAsia="Calibri" w:hAnsi="Cambria Math" w:cs="Times New Roman"/>
                <w:sz w:val="20"/>
                <w:szCs w:val="20"/>
                <w:lang w:eastAsia="pt-PT"/>
              </w:rPr>
            </m:ctrlPr>
          </m:sSubPr>
          <m:e>
            <m:r>
              <m:rPr>
                <m:sty m:val="p"/>
              </m:rPr>
              <w:rPr>
                <w:rFonts w:ascii="Cambria Math" w:eastAsia="Calibri" w:hAnsi="Cambria Math" w:cs="Times New Roman"/>
                <w:sz w:val="20"/>
                <w:szCs w:val="20"/>
                <w:lang w:eastAsia="pt-PT"/>
              </w:rPr>
              <m:t>β</m:t>
            </m:r>
          </m:e>
          <m:sub>
            <m:r>
              <m:rPr>
                <m:sty m:val="p"/>
              </m:rPr>
              <w:rPr>
                <w:rFonts w:ascii="Cambria Math" w:eastAsia="Calibri" w:hAnsi="Cambria Math" w:cs="Times New Roman"/>
                <w:sz w:val="20"/>
                <w:szCs w:val="20"/>
                <w:lang w:eastAsia="pt-PT"/>
              </w:rPr>
              <m:t>5τ</m:t>
            </m:r>
          </m:sub>
        </m:sSub>
      </m:oMath>
      <w:r w:rsidRPr="00781F4C">
        <w:rPr>
          <w:rFonts w:ascii="Times New Roman" w:eastAsia="Calibri" w:hAnsi="Times New Roman" w:cs="Times New Roman"/>
          <w:sz w:val="20"/>
          <w:szCs w:val="20"/>
          <w:lang w:eastAsia="pt-PT"/>
        </w:rPr>
        <w:t xml:space="preserve"> are the quantile regression parameters an</w:t>
      </w:r>
      <w:r w:rsidR="003D6613" w:rsidRPr="00781F4C">
        <w:rPr>
          <w:rFonts w:ascii="Times New Roman" w:eastAsia="Calibri" w:hAnsi="Times New Roman" w:cs="Times New Roman"/>
          <w:sz w:val="20"/>
          <w:szCs w:val="20"/>
          <w:lang w:eastAsia="pt-PT"/>
        </w:rPr>
        <w:t>d show the influencing factors.</w:t>
      </w:r>
    </w:p>
    <w:p w14:paraId="1312C74B" w14:textId="77777777" w:rsidR="006E3EC8" w:rsidRPr="00781F4C" w:rsidRDefault="006E3EC8" w:rsidP="00EA7234">
      <w:pPr>
        <w:jc w:val="both"/>
        <w:rPr>
          <w:lang w:val="en-US"/>
        </w:rPr>
      </w:pPr>
    </w:p>
    <w:p w14:paraId="52744A42" w14:textId="377CB150" w:rsidR="006E3EC8" w:rsidRPr="00781F4C" w:rsidRDefault="00C2148F" w:rsidP="00C2148F">
      <w:pPr>
        <w:keepNext/>
        <w:rPr>
          <w:b/>
          <w:bCs/>
          <w:sz w:val="22"/>
          <w:szCs w:val="22"/>
          <w:lang w:val="en-US"/>
        </w:rPr>
      </w:pPr>
      <w:r w:rsidRPr="00781F4C">
        <w:rPr>
          <w:b/>
          <w:bCs/>
          <w:sz w:val="22"/>
          <w:szCs w:val="22"/>
          <w:lang w:val="en-US"/>
        </w:rPr>
        <w:t xml:space="preserve">4. </w:t>
      </w:r>
      <w:r w:rsidR="006E3EC8" w:rsidRPr="00781F4C">
        <w:rPr>
          <w:b/>
          <w:bCs/>
          <w:sz w:val="22"/>
          <w:szCs w:val="22"/>
          <w:lang w:val="en-US"/>
        </w:rPr>
        <w:t>Empirical results and discussion</w:t>
      </w:r>
    </w:p>
    <w:p w14:paraId="5251A0CA" w14:textId="77777777" w:rsidR="009D639C" w:rsidRPr="00781F4C" w:rsidRDefault="009D639C" w:rsidP="007A7F87">
      <w:pPr>
        <w:keepNext/>
        <w:jc w:val="both"/>
        <w:rPr>
          <w:lang w:val="en-US"/>
        </w:rPr>
      </w:pPr>
    </w:p>
    <w:p w14:paraId="266AB58D" w14:textId="58A739BF" w:rsidR="009D639C" w:rsidRPr="00781F4C" w:rsidRDefault="00B76499" w:rsidP="006D2EBD">
      <w:pPr>
        <w:pStyle w:val="NoSpacing"/>
        <w:spacing w:after="240"/>
        <w:ind w:firstLine="284"/>
        <w:jc w:val="both"/>
        <w:rPr>
          <w:rFonts w:ascii="Times New Roman" w:eastAsia="Calibri" w:hAnsi="Times New Roman" w:cs="Times New Roman"/>
          <w:sz w:val="20"/>
          <w:szCs w:val="20"/>
          <w:lang w:eastAsia="pt-PT"/>
        </w:rPr>
      </w:pPr>
      <w:r w:rsidRPr="00781F4C">
        <w:rPr>
          <w:rFonts w:ascii="Times New Roman" w:eastAsia="Calibri" w:hAnsi="Times New Roman" w:cs="Times New Roman"/>
          <w:sz w:val="20"/>
          <w:szCs w:val="20"/>
          <w:lang w:eastAsia="pt-PT"/>
        </w:rPr>
        <w:t>This section consists of two parts. In the first part, we check the</w:t>
      </w:r>
      <w:r w:rsidR="009B14A1" w:rsidRPr="00781F4C">
        <w:rPr>
          <w:rFonts w:ascii="Times New Roman" w:eastAsia="Calibri" w:hAnsi="Times New Roman" w:cs="Times New Roman"/>
          <w:sz w:val="20"/>
          <w:szCs w:val="20"/>
          <w:lang w:eastAsia="pt-PT"/>
        </w:rPr>
        <w:t xml:space="preserve"> pre-estimation tests</w:t>
      </w:r>
      <w:r w:rsidRPr="00781F4C">
        <w:rPr>
          <w:rFonts w:ascii="Times New Roman" w:eastAsia="Calibri" w:hAnsi="Times New Roman" w:cs="Times New Roman"/>
          <w:sz w:val="20"/>
          <w:szCs w:val="20"/>
          <w:lang w:eastAsia="pt-PT"/>
        </w:rPr>
        <w:t xml:space="preserve">. </w:t>
      </w:r>
      <w:r w:rsidR="009B14A1" w:rsidRPr="00781F4C">
        <w:rPr>
          <w:rFonts w:ascii="Times New Roman" w:eastAsia="Calibri" w:hAnsi="Times New Roman" w:cs="Times New Roman"/>
          <w:sz w:val="20"/>
          <w:szCs w:val="20"/>
          <w:lang w:eastAsia="pt-PT"/>
        </w:rPr>
        <w:t>In the second part,</w:t>
      </w:r>
      <w:r w:rsidRPr="00781F4C">
        <w:rPr>
          <w:rFonts w:ascii="Times New Roman" w:eastAsia="Calibri" w:hAnsi="Times New Roman" w:cs="Times New Roman"/>
          <w:sz w:val="20"/>
          <w:szCs w:val="20"/>
          <w:lang w:eastAsia="pt-PT"/>
        </w:rPr>
        <w:t xml:space="preserve"> we examine the effect of independent variables on the ecological footprint using the panel quantile regression model.</w:t>
      </w:r>
    </w:p>
    <w:p w14:paraId="3EA67638" w14:textId="77777777" w:rsidR="009D639C" w:rsidRPr="00781F4C" w:rsidRDefault="009D639C" w:rsidP="009D639C">
      <w:pPr>
        <w:jc w:val="both"/>
        <w:rPr>
          <w:lang w:val="en-US"/>
        </w:rPr>
      </w:pPr>
    </w:p>
    <w:p w14:paraId="38CA4901" w14:textId="552413E8" w:rsidR="00BA382A" w:rsidRPr="00781F4C" w:rsidRDefault="00C2148F" w:rsidP="00C2148F">
      <w:pPr>
        <w:keepNext/>
        <w:spacing w:line="360" w:lineRule="auto"/>
        <w:jc w:val="both"/>
        <w:rPr>
          <w:i/>
          <w:iCs/>
          <w:sz w:val="20"/>
          <w:szCs w:val="20"/>
          <w:lang w:val="en-US"/>
        </w:rPr>
      </w:pPr>
      <w:r w:rsidRPr="00781F4C">
        <w:rPr>
          <w:i/>
          <w:iCs/>
          <w:sz w:val="20"/>
          <w:szCs w:val="20"/>
          <w:lang w:val="en-US"/>
        </w:rPr>
        <w:t xml:space="preserve">4.1. </w:t>
      </w:r>
      <w:r w:rsidR="006E4281" w:rsidRPr="00781F4C">
        <w:rPr>
          <w:i/>
          <w:iCs/>
          <w:sz w:val="20"/>
          <w:szCs w:val="20"/>
          <w:lang w:val="en-US"/>
        </w:rPr>
        <w:t xml:space="preserve"> </w:t>
      </w:r>
      <w:r w:rsidR="00BA382A" w:rsidRPr="00781F4C">
        <w:rPr>
          <w:i/>
          <w:iCs/>
          <w:sz w:val="20"/>
          <w:szCs w:val="20"/>
          <w:lang w:val="en-US"/>
        </w:rPr>
        <w:t>Pre-estimation tests</w:t>
      </w:r>
    </w:p>
    <w:p w14:paraId="39241E8E" w14:textId="2F983949" w:rsidR="008E08A5" w:rsidRPr="00781F4C" w:rsidRDefault="00EF4521" w:rsidP="006D2EBD">
      <w:pPr>
        <w:pStyle w:val="NoSpacing"/>
        <w:spacing w:after="240"/>
        <w:ind w:firstLine="284"/>
        <w:jc w:val="both"/>
        <w:rPr>
          <w:rFonts w:ascii="Times New Roman" w:eastAsia="Calibri" w:hAnsi="Times New Roman" w:cs="Times New Roman"/>
          <w:sz w:val="20"/>
          <w:szCs w:val="20"/>
          <w:lang w:eastAsia="pt-PT"/>
        </w:rPr>
      </w:pPr>
      <w:r w:rsidRPr="00781F4C">
        <w:rPr>
          <w:rFonts w:ascii="Times New Roman" w:eastAsia="Calibri" w:hAnsi="Times New Roman" w:cs="Times New Roman"/>
          <w:sz w:val="20"/>
          <w:szCs w:val="20"/>
          <w:lang w:eastAsia="pt-PT"/>
        </w:rPr>
        <w:t xml:space="preserve">Before estimating quantile panel regression, it is necessary to consider preliminary testing such as </w:t>
      </w:r>
      <w:r w:rsidR="00504824" w:rsidRPr="00781F4C">
        <w:rPr>
          <w:rFonts w:ascii="Times New Roman" w:eastAsia="Calibri" w:hAnsi="Times New Roman" w:cs="Times New Roman"/>
          <w:sz w:val="20"/>
          <w:szCs w:val="20"/>
          <w:lang w:eastAsia="pt-PT"/>
        </w:rPr>
        <w:t>the normality test (</w:t>
      </w:r>
      <w:r w:rsidR="00CA3DDC" w:rsidRPr="00781F4C">
        <w:rPr>
          <w:rFonts w:ascii="Times New Roman" w:eastAsia="Calibri" w:hAnsi="Times New Roman" w:cs="Times New Roman"/>
          <w:sz w:val="20"/>
          <w:szCs w:val="20"/>
          <w:lang w:eastAsia="pt-PT"/>
        </w:rPr>
        <w:t>Royston</w:t>
      </w:r>
      <w:r w:rsidR="009A5719" w:rsidRPr="00781F4C">
        <w:rPr>
          <w:rFonts w:ascii="Times New Roman" w:eastAsia="Calibri" w:hAnsi="Times New Roman" w:cs="Times New Roman"/>
          <w:sz w:val="20"/>
          <w:szCs w:val="20"/>
          <w:lang w:eastAsia="pt-PT"/>
        </w:rPr>
        <w:t>,</w:t>
      </w:r>
      <w:r w:rsidR="00CA3DDC" w:rsidRPr="00781F4C">
        <w:rPr>
          <w:rFonts w:ascii="Times New Roman" w:eastAsia="Calibri" w:hAnsi="Times New Roman" w:cs="Times New Roman"/>
          <w:sz w:val="20"/>
          <w:szCs w:val="20"/>
          <w:lang w:eastAsia="pt-PT"/>
        </w:rPr>
        <w:t xml:space="preserve"> 1992; Royston</w:t>
      </w:r>
      <w:r w:rsidR="009A5719" w:rsidRPr="00781F4C">
        <w:rPr>
          <w:rFonts w:ascii="Times New Roman" w:eastAsia="Calibri" w:hAnsi="Times New Roman" w:cs="Times New Roman"/>
          <w:sz w:val="20"/>
          <w:szCs w:val="20"/>
          <w:lang w:eastAsia="pt-PT"/>
        </w:rPr>
        <w:t>,</w:t>
      </w:r>
      <w:r w:rsidR="00504824" w:rsidRPr="00781F4C">
        <w:rPr>
          <w:rFonts w:ascii="Times New Roman" w:eastAsia="Calibri" w:hAnsi="Times New Roman" w:cs="Times New Roman"/>
          <w:sz w:val="20"/>
          <w:szCs w:val="20"/>
          <w:lang w:eastAsia="pt-PT"/>
        </w:rPr>
        <w:t xml:space="preserve"> 1983), </w:t>
      </w:r>
      <w:r w:rsidRPr="00781F4C">
        <w:rPr>
          <w:rFonts w:ascii="Times New Roman" w:eastAsia="Calibri" w:hAnsi="Times New Roman" w:cs="Times New Roman"/>
          <w:sz w:val="20"/>
          <w:szCs w:val="20"/>
          <w:lang w:eastAsia="pt-PT"/>
        </w:rPr>
        <w:t>the multicollinearity o</w:t>
      </w:r>
      <w:r w:rsidR="000A2D3C" w:rsidRPr="00781F4C">
        <w:rPr>
          <w:rFonts w:ascii="Times New Roman" w:eastAsia="Calibri" w:hAnsi="Times New Roman" w:cs="Times New Roman"/>
          <w:sz w:val="20"/>
          <w:szCs w:val="20"/>
          <w:lang w:eastAsia="pt-PT"/>
        </w:rPr>
        <w:t>f the variables (Belsley et al.</w:t>
      </w:r>
      <w:r w:rsidR="009A5719" w:rsidRPr="00781F4C">
        <w:rPr>
          <w:rFonts w:ascii="Times New Roman" w:eastAsia="Calibri" w:hAnsi="Times New Roman" w:cs="Times New Roman"/>
          <w:sz w:val="20"/>
          <w:szCs w:val="20"/>
          <w:lang w:eastAsia="pt-PT"/>
        </w:rPr>
        <w:t>,</w:t>
      </w:r>
      <w:r w:rsidRPr="00781F4C">
        <w:rPr>
          <w:rFonts w:ascii="Times New Roman" w:eastAsia="Calibri" w:hAnsi="Times New Roman" w:cs="Times New Roman"/>
          <w:sz w:val="20"/>
          <w:szCs w:val="20"/>
          <w:lang w:eastAsia="pt-PT"/>
        </w:rPr>
        <w:t xml:space="preserve"> 2005), the existence of cross-sectional dependence (</w:t>
      </w:r>
      <w:proofErr w:type="spellStart"/>
      <w:r w:rsidR="00CA3DDC" w:rsidRPr="00781F4C">
        <w:rPr>
          <w:rFonts w:ascii="Times New Roman" w:eastAsia="Calibri" w:hAnsi="Times New Roman" w:cs="Times New Roman"/>
          <w:sz w:val="20"/>
          <w:szCs w:val="20"/>
          <w:lang w:eastAsia="pt-PT"/>
        </w:rPr>
        <w:t>Pesaran</w:t>
      </w:r>
      <w:proofErr w:type="spellEnd"/>
      <w:r w:rsidR="009A5719" w:rsidRPr="00781F4C">
        <w:rPr>
          <w:rFonts w:ascii="Times New Roman" w:eastAsia="Calibri" w:hAnsi="Times New Roman" w:cs="Times New Roman"/>
          <w:sz w:val="20"/>
          <w:szCs w:val="20"/>
          <w:lang w:eastAsia="pt-PT"/>
        </w:rPr>
        <w:t>,</w:t>
      </w:r>
      <w:r w:rsidRPr="00781F4C">
        <w:rPr>
          <w:rFonts w:ascii="Times New Roman" w:eastAsia="Calibri" w:hAnsi="Times New Roman" w:cs="Times New Roman"/>
          <w:sz w:val="20"/>
          <w:szCs w:val="20"/>
          <w:lang w:eastAsia="pt-PT"/>
        </w:rPr>
        <w:t xml:space="preserve"> 2004), order of integration, i.e., unit</w:t>
      </w:r>
      <w:r w:rsidR="000D3C21" w:rsidRPr="00781F4C">
        <w:rPr>
          <w:rFonts w:ascii="Times New Roman" w:eastAsia="Calibri" w:hAnsi="Times New Roman" w:cs="Times New Roman"/>
          <w:sz w:val="20"/>
          <w:szCs w:val="20"/>
          <w:lang w:eastAsia="pt-PT"/>
        </w:rPr>
        <w:t xml:space="preserve"> </w:t>
      </w:r>
      <w:r w:rsidR="00504824" w:rsidRPr="00781F4C">
        <w:rPr>
          <w:rFonts w:ascii="Times New Roman" w:eastAsia="Calibri" w:hAnsi="Times New Roman" w:cs="Times New Roman"/>
          <w:sz w:val="20"/>
          <w:szCs w:val="20"/>
          <w:lang w:eastAsia="pt-PT"/>
        </w:rPr>
        <w:t>roots (</w:t>
      </w:r>
      <w:proofErr w:type="spellStart"/>
      <w:r w:rsidR="00CA3DDC" w:rsidRPr="00781F4C">
        <w:rPr>
          <w:rFonts w:ascii="Times New Roman" w:eastAsia="Calibri" w:hAnsi="Times New Roman" w:cs="Times New Roman"/>
          <w:sz w:val="20"/>
          <w:szCs w:val="20"/>
          <w:lang w:eastAsia="pt-PT"/>
        </w:rPr>
        <w:t>Pesaran</w:t>
      </w:r>
      <w:proofErr w:type="spellEnd"/>
      <w:r w:rsidR="009A5719" w:rsidRPr="00781F4C">
        <w:rPr>
          <w:rFonts w:ascii="Times New Roman" w:eastAsia="Calibri" w:hAnsi="Times New Roman" w:cs="Times New Roman"/>
          <w:sz w:val="20"/>
          <w:szCs w:val="20"/>
          <w:lang w:eastAsia="pt-PT"/>
        </w:rPr>
        <w:t>,</w:t>
      </w:r>
      <w:r w:rsidR="00504824" w:rsidRPr="00781F4C">
        <w:rPr>
          <w:rFonts w:ascii="Times New Roman" w:eastAsia="Calibri" w:hAnsi="Times New Roman" w:cs="Times New Roman"/>
          <w:sz w:val="20"/>
          <w:szCs w:val="20"/>
          <w:lang w:eastAsia="pt-PT"/>
        </w:rPr>
        <w:t xml:space="preserve"> 2007) and </w:t>
      </w:r>
      <w:r w:rsidRPr="00781F4C">
        <w:rPr>
          <w:rFonts w:ascii="Times New Roman" w:eastAsia="Calibri" w:hAnsi="Times New Roman" w:cs="Times New Roman"/>
          <w:sz w:val="20"/>
          <w:szCs w:val="20"/>
          <w:lang w:eastAsia="pt-PT"/>
        </w:rPr>
        <w:t>cointegration tes</w:t>
      </w:r>
      <w:r w:rsidR="003065A0" w:rsidRPr="00781F4C">
        <w:rPr>
          <w:rFonts w:ascii="Times New Roman" w:eastAsia="Calibri" w:hAnsi="Times New Roman" w:cs="Times New Roman"/>
          <w:sz w:val="20"/>
          <w:szCs w:val="20"/>
          <w:lang w:eastAsia="pt-PT"/>
        </w:rPr>
        <w:t>t (</w:t>
      </w:r>
      <w:r w:rsidR="00CA3DDC" w:rsidRPr="00781F4C">
        <w:rPr>
          <w:rFonts w:ascii="Times New Roman" w:eastAsia="Calibri" w:hAnsi="Times New Roman" w:cs="Times New Roman"/>
          <w:sz w:val="20"/>
          <w:szCs w:val="20"/>
          <w:lang w:eastAsia="pt-PT"/>
        </w:rPr>
        <w:t>Kao</w:t>
      </w:r>
      <w:r w:rsidR="009A5719" w:rsidRPr="00781F4C">
        <w:rPr>
          <w:rFonts w:ascii="Times New Roman" w:eastAsia="Calibri" w:hAnsi="Times New Roman" w:cs="Times New Roman"/>
          <w:sz w:val="20"/>
          <w:szCs w:val="20"/>
          <w:lang w:eastAsia="pt-PT"/>
        </w:rPr>
        <w:t>,</w:t>
      </w:r>
      <w:r w:rsidR="003065A0" w:rsidRPr="00781F4C">
        <w:rPr>
          <w:rFonts w:ascii="Times New Roman" w:eastAsia="Calibri" w:hAnsi="Times New Roman" w:cs="Times New Roman"/>
          <w:sz w:val="20"/>
          <w:szCs w:val="20"/>
          <w:lang w:eastAsia="pt-PT"/>
        </w:rPr>
        <w:t xml:space="preserve"> </w:t>
      </w:r>
      <w:r w:rsidR="00CA3DDC" w:rsidRPr="00781F4C">
        <w:rPr>
          <w:rFonts w:ascii="Times New Roman" w:eastAsia="Calibri" w:hAnsi="Times New Roman" w:cs="Times New Roman"/>
          <w:sz w:val="20"/>
          <w:szCs w:val="20"/>
          <w:lang w:eastAsia="pt-PT"/>
        </w:rPr>
        <w:t>1999; Pedroni</w:t>
      </w:r>
      <w:r w:rsidR="009A5719" w:rsidRPr="00781F4C">
        <w:rPr>
          <w:rFonts w:ascii="Times New Roman" w:eastAsia="Calibri" w:hAnsi="Times New Roman" w:cs="Times New Roman"/>
          <w:sz w:val="20"/>
          <w:szCs w:val="20"/>
          <w:lang w:eastAsia="pt-PT"/>
        </w:rPr>
        <w:t>,</w:t>
      </w:r>
      <w:r w:rsidR="00504824" w:rsidRPr="00781F4C">
        <w:rPr>
          <w:rFonts w:ascii="Times New Roman" w:eastAsia="Calibri" w:hAnsi="Times New Roman" w:cs="Times New Roman"/>
          <w:sz w:val="20"/>
          <w:szCs w:val="20"/>
          <w:lang w:eastAsia="pt-PT"/>
        </w:rPr>
        <w:t xml:space="preserve"> 1999)</w:t>
      </w:r>
      <w:r w:rsidRPr="00781F4C">
        <w:rPr>
          <w:rFonts w:ascii="Times New Roman" w:eastAsia="Calibri" w:hAnsi="Times New Roman" w:cs="Times New Roman"/>
          <w:sz w:val="20"/>
          <w:szCs w:val="20"/>
          <w:lang w:eastAsia="pt-PT"/>
        </w:rPr>
        <w:t xml:space="preserve">. Therefore, in this section, </w:t>
      </w:r>
      <w:r w:rsidR="009D178B" w:rsidRPr="00781F4C">
        <w:rPr>
          <w:rFonts w:ascii="Times New Roman" w:eastAsia="Calibri" w:hAnsi="Times New Roman" w:cs="Times New Roman"/>
          <w:sz w:val="20"/>
          <w:szCs w:val="20"/>
          <w:lang w:eastAsia="pt-PT"/>
        </w:rPr>
        <w:t>we examine the preliminary tests mentioned</w:t>
      </w:r>
      <w:r w:rsidR="003065A0" w:rsidRPr="00781F4C">
        <w:rPr>
          <w:rFonts w:ascii="Times New Roman" w:eastAsia="Calibri" w:hAnsi="Times New Roman" w:cs="Times New Roman"/>
          <w:sz w:val="20"/>
          <w:szCs w:val="20"/>
          <w:lang w:eastAsia="pt-PT"/>
        </w:rPr>
        <w:t>.</w:t>
      </w:r>
    </w:p>
    <w:p w14:paraId="4AC4043B" w14:textId="77777777" w:rsidR="00372CE1" w:rsidRPr="00781F4C" w:rsidRDefault="00372CE1" w:rsidP="008E08A5">
      <w:pPr>
        <w:ind w:firstLine="720"/>
        <w:jc w:val="both"/>
        <w:rPr>
          <w:sz w:val="20"/>
          <w:szCs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070"/>
        <w:gridCol w:w="1170"/>
        <w:gridCol w:w="2070"/>
        <w:gridCol w:w="1080"/>
        <w:gridCol w:w="1166"/>
      </w:tblGrid>
      <w:tr w:rsidR="00372CE1" w:rsidRPr="00781F4C" w14:paraId="165A49E0" w14:textId="77777777" w:rsidTr="009060B5">
        <w:trPr>
          <w:trHeight w:val="109"/>
        </w:trPr>
        <w:tc>
          <w:tcPr>
            <w:tcW w:w="5000" w:type="pct"/>
            <w:gridSpan w:val="6"/>
            <w:tcBorders>
              <w:bottom w:val="single" w:sz="24" w:space="0" w:color="auto"/>
            </w:tcBorders>
            <w:vAlign w:val="center"/>
          </w:tcPr>
          <w:p w14:paraId="49211CCA" w14:textId="56CA9552" w:rsidR="00372CE1" w:rsidRPr="00781F4C" w:rsidRDefault="00372CE1" w:rsidP="00372CE1">
            <w:pPr>
              <w:keepNext/>
              <w:rPr>
                <w:i/>
                <w:iCs/>
                <w:sz w:val="18"/>
                <w:szCs w:val="18"/>
              </w:rPr>
            </w:pPr>
            <w:r w:rsidRPr="00781F4C">
              <w:rPr>
                <w:i/>
                <w:iCs/>
                <w:sz w:val="18"/>
                <w:szCs w:val="18"/>
              </w:rPr>
              <w:t xml:space="preserve">Table </w:t>
            </w:r>
            <w:r w:rsidR="007368DC" w:rsidRPr="00781F4C">
              <w:rPr>
                <w:i/>
                <w:iCs/>
                <w:sz w:val="18"/>
                <w:szCs w:val="18"/>
                <w:lang w:val="en-US"/>
              </w:rPr>
              <w:t>3</w:t>
            </w:r>
            <w:r w:rsidRPr="00781F4C">
              <w:rPr>
                <w:i/>
                <w:iCs/>
                <w:sz w:val="18"/>
                <w:szCs w:val="18"/>
              </w:rPr>
              <w:t xml:space="preserve">. </w:t>
            </w:r>
            <w:r w:rsidR="00F14EA0" w:rsidRPr="00CF6621">
              <w:rPr>
                <w:i/>
                <w:iCs/>
                <w:sz w:val="18"/>
                <w:szCs w:val="18"/>
              </w:rPr>
              <w:t>Normality test</w:t>
            </w:r>
          </w:p>
        </w:tc>
      </w:tr>
      <w:tr w:rsidR="00372CE1" w:rsidRPr="00781F4C" w14:paraId="60BEC075" w14:textId="77777777" w:rsidTr="009060B5">
        <w:trPr>
          <w:trHeight w:val="109"/>
        </w:trPr>
        <w:tc>
          <w:tcPr>
            <w:tcW w:w="963" w:type="pct"/>
            <w:vMerge w:val="restart"/>
            <w:tcBorders>
              <w:top w:val="single" w:sz="24" w:space="0" w:color="auto"/>
            </w:tcBorders>
            <w:vAlign w:val="center"/>
            <w:hideMark/>
          </w:tcPr>
          <w:p w14:paraId="20D0DDB5" w14:textId="77777777" w:rsidR="00372CE1" w:rsidRPr="00781F4C" w:rsidRDefault="00372CE1" w:rsidP="00372CE1">
            <w:pPr>
              <w:keepNext/>
              <w:jc w:val="center"/>
              <w:rPr>
                <w:i/>
                <w:iCs/>
                <w:sz w:val="16"/>
                <w:szCs w:val="16"/>
                <w:lang w:bidi="fa-IR"/>
              </w:rPr>
            </w:pPr>
            <w:r w:rsidRPr="00781F4C">
              <w:rPr>
                <w:i/>
                <w:iCs/>
                <w:sz w:val="16"/>
                <w:szCs w:val="16"/>
                <w:lang w:bidi="fa-IR"/>
              </w:rPr>
              <w:t>Variables</w:t>
            </w:r>
          </w:p>
        </w:tc>
        <w:tc>
          <w:tcPr>
            <w:tcW w:w="1731" w:type="pct"/>
            <w:gridSpan w:val="2"/>
            <w:tcBorders>
              <w:top w:val="single" w:sz="24" w:space="0" w:color="auto"/>
              <w:bottom w:val="single" w:sz="8" w:space="0" w:color="auto"/>
            </w:tcBorders>
            <w:vAlign w:val="center"/>
          </w:tcPr>
          <w:p w14:paraId="07D63F99" w14:textId="77777777" w:rsidR="00372CE1" w:rsidRPr="00781F4C" w:rsidRDefault="00372CE1" w:rsidP="00372CE1">
            <w:pPr>
              <w:keepNext/>
              <w:jc w:val="center"/>
              <w:rPr>
                <w:i/>
                <w:iCs/>
                <w:sz w:val="16"/>
                <w:szCs w:val="16"/>
                <w:lang w:bidi="fa-IR"/>
              </w:rPr>
            </w:pPr>
            <w:r w:rsidRPr="00781F4C">
              <w:rPr>
                <w:i/>
                <w:iCs/>
                <w:sz w:val="16"/>
                <w:szCs w:val="16"/>
                <w:lang w:bidi="fa-IR"/>
              </w:rPr>
              <w:t>Shapiro-Wilk test</w:t>
            </w:r>
          </w:p>
        </w:tc>
        <w:tc>
          <w:tcPr>
            <w:tcW w:w="1683" w:type="pct"/>
            <w:gridSpan w:val="2"/>
            <w:tcBorders>
              <w:top w:val="single" w:sz="24" w:space="0" w:color="auto"/>
              <w:bottom w:val="single" w:sz="8" w:space="0" w:color="auto"/>
            </w:tcBorders>
            <w:vAlign w:val="center"/>
          </w:tcPr>
          <w:p w14:paraId="41529810" w14:textId="34CF5B55" w:rsidR="00372CE1" w:rsidRPr="00781F4C" w:rsidRDefault="00372CE1" w:rsidP="003E303C">
            <w:pPr>
              <w:keepNext/>
              <w:jc w:val="center"/>
              <w:rPr>
                <w:i/>
                <w:iCs/>
                <w:sz w:val="16"/>
                <w:szCs w:val="16"/>
                <w:lang w:bidi="fa-IR"/>
              </w:rPr>
            </w:pPr>
            <w:r w:rsidRPr="00781F4C">
              <w:rPr>
                <w:i/>
                <w:iCs/>
                <w:sz w:val="16"/>
                <w:szCs w:val="16"/>
                <w:lang w:bidi="fa-IR"/>
              </w:rPr>
              <w:t>Shapiro-</w:t>
            </w:r>
            <w:r w:rsidR="00DA5AA3" w:rsidRPr="00781F4C">
              <w:rPr>
                <w:i/>
                <w:iCs/>
                <w:sz w:val="16"/>
                <w:szCs w:val="16"/>
                <w:lang w:bidi="fa-IR"/>
              </w:rPr>
              <w:t xml:space="preserve">France </w:t>
            </w:r>
            <w:r w:rsidRPr="00781F4C">
              <w:rPr>
                <w:i/>
                <w:iCs/>
                <w:sz w:val="16"/>
                <w:szCs w:val="16"/>
                <w:lang w:bidi="fa-IR"/>
              </w:rPr>
              <w:t>test</w:t>
            </w:r>
          </w:p>
        </w:tc>
        <w:tc>
          <w:tcPr>
            <w:tcW w:w="623" w:type="pct"/>
            <w:vMerge w:val="restart"/>
            <w:tcBorders>
              <w:top w:val="single" w:sz="24" w:space="0" w:color="auto"/>
            </w:tcBorders>
            <w:vAlign w:val="center"/>
            <w:hideMark/>
          </w:tcPr>
          <w:p w14:paraId="18A08298" w14:textId="77777777" w:rsidR="00372CE1" w:rsidRPr="00781F4C" w:rsidRDefault="00372CE1" w:rsidP="00372CE1">
            <w:pPr>
              <w:keepNext/>
              <w:jc w:val="center"/>
              <w:rPr>
                <w:i/>
                <w:iCs/>
                <w:sz w:val="16"/>
                <w:szCs w:val="16"/>
                <w:lang w:bidi="fa-IR"/>
              </w:rPr>
            </w:pPr>
            <w:r w:rsidRPr="00781F4C">
              <w:rPr>
                <w:i/>
                <w:iCs/>
                <w:sz w:val="16"/>
                <w:szCs w:val="16"/>
                <w:lang w:bidi="fa-IR"/>
              </w:rPr>
              <w:t>Obs</w:t>
            </w:r>
          </w:p>
        </w:tc>
      </w:tr>
      <w:tr w:rsidR="00372CE1" w:rsidRPr="00781F4C" w14:paraId="644F1519" w14:textId="77777777" w:rsidTr="009060B5">
        <w:trPr>
          <w:trHeight w:val="123"/>
        </w:trPr>
        <w:tc>
          <w:tcPr>
            <w:tcW w:w="963" w:type="pct"/>
            <w:vMerge/>
            <w:tcBorders>
              <w:bottom w:val="single" w:sz="8" w:space="0" w:color="auto"/>
            </w:tcBorders>
            <w:vAlign w:val="center"/>
          </w:tcPr>
          <w:p w14:paraId="10EA2E09" w14:textId="77777777" w:rsidR="00372CE1" w:rsidRPr="00781F4C" w:rsidRDefault="00372CE1" w:rsidP="00372CE1">
            <w:pPr>
              <w:keepNext/>
              <w:rPr>
                <w:sz w:val="16"/>
                <w:szCs w:val="16"/>
                <w:lang w:bidi="fa-IR"/>
              </w:rPr>
            </w:pPr>
          </w:p>
        </w:tc>
        <w:tc>
          <w:tcPr>
            <w:tcW w:w="1731" w:type="pct"/>
            <w:gridSpan w:val="2"/>
            <w:tcBorders>
              <w:top w:val="single" w:sz="8" w:space="0" w:color="auto"/>
            </w:tcBorders>
            <w:vAlign w:val="center"/>
          </w:tcPr>
          <w:p w14:paraId="02F4C778" w14:textId="77777777" w:rsidR="00372CE1" w:rsidRPr="00781F4C" w:rsidRDefault="00372CE1" w:rsidP="00372CE1">
            <w:pPr>
              <w:keepNext/>
              <w:jc w:val="center"/>
              <w:rPr>
                <w:i/>
                <w:iCs/>
                <w:sz w:val="16"/>
                <w:szCs w:val="16"/>
                <w:lang w:bidi="fa-IR"/>
              </w:rPr>
            </w:pPr>
            <w:r w:rsidRPr="00781F4C">
              <w:rPr>
                <w:i/>
                <w:iCs/>
                <w:sz w:val="16"/>
                <w:szCs w:val="16"/>
                <w:lang w:bidi="fa-IR"/>
              </w:rPr>
              <w:t>Statistic</w:t>
            </w:r>
          </w:p>
        </w:tc>
        <w:tc>
          <w:tcPr>
            <w:tcW w:w="1683" w:type="pct"/>
            <w:gridSpan w:val="2"/>
            <w:tcBorders>
              <w:top w:val="single" w:sz="8" w:space="0" w:color="auto"/>
            </w:tcBorders>
            <w:vAlign w:val="center"/>
          </w:tcPr>
          <w:p w14:paraId="039502EA" w14:textId="77777777" w:rsidR="00372CE1" w:rsidRPr="00781F4C" w:rsidRDefault="00372CE1" w:rsidP="00372CE1">
            <w:pPr>
              <w:keepNext/>
              <w:jc w:val="center"/>
              <w:rPr>
                <w:i/>
                <w:iCs/>
                <w:sz w:val="16"/>
                <w:szCs w:val="16"/>
                <w:lang w:bidi="fa-IR"/>
              </w:rPr>
            </w:pPr>
            <w:r w:rsidRPr="00781F4C">
              <w:rPr>
                <w:i/>
                <w:iCs/>
                <w:sz w:val="16"/>
                <w:szCs w:val="16"/>
                <w:lang w:bidi="fa-IR"/>
              </w:rPr>
              <w:t>Statistic</w:t>
            </w:r>
          </w:p>
        </w:tc>
        <w:tc>
          <w:tcPr>
            <w:tcW w:w="623" w:type="pct"/>
            <w:vMerge/>
            <w:tcBorders>
              <w:bottom w:val="single" w:sz="8" w:space="0" w:color="auto"/>
            </w:tcBorders>
            <w:vAlign w:val="center"/>
          </w:tcPr>
          <w:p w14:paraId="069D86F5" w14:textId="77777777" w:rsidR="00372CE1" w:rsidRPr="00781F4C" w:rsidRDefault="00372CE1" w:rsidP="00372CE1">
            <w:pPr>
              <w:keepNext/>
              <w:jc w:val="center"/>
              <w:rPr>
                <w:i/>
                <w:iCs/>
                <w:sz w:val="16"/>
                <w:szCs w:val="16"/>
                <w:lang w:bidi="fa-IR"/>
              </w:rPr>
            </w:pPr>
          </w:p>
        </w:tc>
      </w:tr>
      <w:tr w:rsidR="00372CE1" w:rsidRPr="00781F4C" w14:paraId="6B6491B4" w14:textId="77777777" w:rsidTr="009060B5">
        <w:trPr>
          <w:trHeight w:val="268"/>
        </w:trPr>
        <w:tc>
          <w:tcPr>
            <w:tcW w:w="963" w:type="pct"/>
            <w:tcBorders>
              <w:top w:val="single" w:sz="8" w:space="0" w:color="auto"/>
            </w:tcBorders>
            <w:vAlign w:val="center"/>
          </w:tcPr>
          <w:p w14:paraId="48E94231" w14:textId="58F11992" w:rsidR="00372CE1" w:rsidRPr="00781F4C" w:rsidRDefault="00A84492" w:rsidP="00372CE1">
            <w:pPr>
              <w:keepNext/>
              <w:jc w:val="center"/>
              <w:rPr>
                <w:sz w:val="16"/>
                <w:szCs w:val="16"/>
                <w:lang w:val="en-GB"/>
              </w:rPr>
            </w:pPr>
            <w:r w:rsidRPr="00781F4C">
              <w:rPr>
                <w:sz w:val="16"/>
                <w:szCs w:val="16"/>
                <w:lang w:val="en-US"/>
              </w:rPr>
              <w:t>E</w:t>
            </w:r>
            <w:r w:rsidR="001E6281" w:rsidRPr="00781F4C">
              <w:rPr>
                <w:sz w:val="16"/>
                <w:szCs w:val="16"/>
                <w:lang w:val="en-US"/>
              </w:rPr>
              <w:t>FP</w:t>
            </w:r>
          </w:p>
        </w:tc>
        <w:tc>
          <w:tcPr>
            <w:tcW w:w="1106" w:type="pct"/>
            <w:tcBorders>
              <w:top w:val="single" w:sz="8" w:space="0" w:color="auto"/>
            </w:tcBorders>
            <w:vAlign w:val="center"/>
          </w:tcPr>
          <w:p w14:paraId="379D2A24" w14:textId="779B9664" w:rsidR="00372CE1" w:rsidRPr="00781F4C" w:rsidRDefault="001E6281" w:rsidP="00372CE1">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jc w:val="center"/>
              <w:rPr>
                <w:sz w:val="16"/>
                <w:szCs w:val="16"/>
                <w:lang w:val="en-US" w:eastAsia="en-US"/>
              </w:rPr>
            </w:pPr>
            <w:r w:rsidRPr="00781F4C">
              <w:rPr>
                <w:sz w:val="16"/>
                <w:szCs w:val="16"/>
                <w:lang w:val="en-US" w:eastAsia="en-US"/>
              </w:rPr>
              <w:t>0.51116</w:t>
            </w:r>
          </w:p>
        </w:tc>
        <w:tc>
          <w:tcPr>
            <w:tcW w:w="625" w:type="pct"/>
            <w:tcBorders>
              <w:top w:val="single" w:sz="8" w:space="0" w:color="auto"/>
            </w:tcBorders>
            <w:vAlign w:val="center"/>
          </w:tcPr>
          <w:p w14:paraId="236686D7" w14:textId="0273BA7F" w:rsidR="00372CE1" w:rsidRPr="00781F4C" w:rsidRDefault="001F5F7E" w:rsidP="00372CE1">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en-US" w:eastAsia="en-US"/>
              </w:rPr>
            </w:pPr>
            <w:r w:rsidRPr="00781F4C">
              <w:rPr>
                <w:rFonts w:asciiTheme="majorBidi" w:hAnsiTheme="majorBidi" w:cstheme="majorBidi"/>
                <w:sz w:val="16"/>
                <w:szCs w:val="16"/>
              </w:rPr>
              <w:t>***</w:t>
            </w:r>
          </w:p>
        </w:tc>
        <w:tc>
          <w:tcPr>
            <w:tcW w:w="1106" w:type="pct"/>
            <w:tcBorders>
              <w:top w:val="single" w:sz="8" w:space="0" w:color="auto"/>
            </w:tcBorders>
            <w:vAlign w:val="center"/>
          </w:tcPr>
          <w:p w14:paraId="2F4F9ED4" w14:textId="38EBBE57" w:rsidR="00372CE1" w:rsidRPr="00781F4C" w:rsidRDefault="001E6281" w:rsidP="00372CE1">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jc w:val="center"/>
              <w:rPr>
                <w:sz w:val="16"/>
                <w:szCs w:val="16"/>
                <w:lang w:val="en-US" w:eastAsia="en-US"/>
              </w:rPr>
            </w:pPr>
            <w:r w:rsidRPr="00781F4C">
              <w:rPr>
                <w:sz w:val="16"/>
                <w:szCs w:val="16"/>
                <w:lang w:val="en-US" w:eastAsia="en-US"/>
              </w:rPr>
              <w:t>0.50949</w:t>
            </w:r>
          </w:p>
        </w:tc>
        <w:tc>
          <w:tcPr>
            <w:tcW w:w="577" w:type="pct"/>
            <w:tcBorders>
              <w:top w:val="single" w:sz="8" w:space="0" w:color="auto"/>
            </w:tcBorders>
            <w:vAlign w:val="center"/>
          </w:tcPr>
          <w:p w14:paraId="1C8CF1C0" w14:textId="2C9F46D6" w:rsidR="00372CE1" w:rsidRPr="00781F4C" w:rsidRDefault="001F5F7E" w:rsidP="00372CE1">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en-US" w:eastAsia="en-US"/>
              </w:rPr>
            </w:pPr>
            <w:r w:rsidRPr="00781F4C">
              <w:rPr>
                <w:rFonts w:asciiTheme="majorBidi" w:hAnsiTheme="majorBidi" w:cstheme="majorBidi"/>
                <w:sz w:val="16"/>
                <w:szCs w:val="16"/>
              </w:rPr>
              <w:t>***</w:t>
            </w:r>
          </w:p>
        </w:tc>
        <w:tc>
          <w:tcPr>
            <w:tcW w:w="623" w:type="pct"/>
            <w:tcBorders>
              <w:top w:val="single" w:sz="8" w:space="0" w:color="auto"/>
            </w:tcBorders>
            <w:vAlign w:val="center"/>
          </w:tcPr>
          <w:p w14:paraId="66231835" w14:textId="2BD7E312" w:rsidR="00372CE1" w:rsidRPr="00781F4C" w:rsidRDefault="001E6281" w:rsidP="00372CE1">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jc w:val="center"/>
              <w:rPr>
                <w:sz w:val="16"/>
                <w:szCs w:val="16"/>
                <w:lang w:val="en-US" w:eastAsia="en-US"/>
              </w:rPr>
            </w:pPr>
            <w:r w:rsidRPr="00781F4C">
              <w:rPr>
                <w:sz w:val="16"/>
                <w:szCs w:val="16"/>
                <w:lang w:val="en-US" w:eastAsia="en-US"/>
              </w:rPr>
              <w:t>5</w:t>
            </w:r>
            <w:r w:rsidR="00372CE1" w:rsidRPr="00781F4C">
              <w:rPr>
                <w:sz w:val="16"/>
                <w:szCs w:val="16"/>
                <w:lang w:val="en-US" w:eastAsia="en-US"/>
              </w:rPr>
              <w:t>00</w:t>
            </w:r>
          </w:p>
        </w:tc>
      </w:tr>
      <w:tr w:rsidR="00372CE1" w:rsidRPr="00781F4C" w14:paraId="06FA515D" w14:textId="77777777" w:rsidTr="009060B5">
        <w:trPr>
          <w:trHeight w:val="268"/>
        </w:trPr>
        <w:tc>
          <w:tcPr>
            <w:tcW w:w="963" w:type="pct"/>
            <w:vAlign w:val="center"/>
          </w:tcPr>
          <w:p w14:paraId="0C36882D" w14:textId="346EDB45" w:rsidR="00372CE1" w:rsidRPr="00781F4C" w:rsidRDefault="00A84492" w:rsidP="00372CE1">
            <w:pPr>
              <w:keepNext/>
              <w:jc w:val="center"/>
              <w:rPr>
                <w:sz w:val="16"/>
                <w:szCs w:val="16"/>
                <w:lang w:val="en-US" w:bidi="fa-IR"/>
              </w:rPr>
            </w:pPr>
            <w:r w:rsidRPr="00781F4C">
              <w:rPr>
                <w:sz w:val="16"/>
                <w:szCs w:val="16"/>
                <w:lang w:val="en-US" w:bidi="fa-IR"/>
              </w:rPr>
              <w:t>E</w:t>
            </w:r>
            <w:r w:rsidR="001E6281" w:rsidRPr="00781F4C">
              <w:rPr>
                <w:sz w:val="16"/>
                <w:szCs w:val="16"/>
                <w:lang w:val="en-US" w:bidi="fa-IR"/>
              </w:rPr>
              <w:t>Q</w:t>
            </w:r>
          </w:p>
        </w:tc>
        <w:tc>
          <w:tcPr>
            <w:tcW w:w="1106" w:type="pct"/>
            <w:vAlign w:val="center"/>
          </w:tcPr>
          <w:p w14:paraId="2312DB79" w14:textId="64153C01" w:rsidR="00372CE1" w:rsidRPr="00781F4C" w:rsidRDefault="001E6281" w:rsidP="00372CE1">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jc w:val="center"/>
              <w:rPr>
                <w:sz w:val="16"/>
                <w:szCs w:val="16"/>
                <w:lang w:val="en-US" w:eastAsia="en-US"/>
              </w:rPr>
            </w:pPr>
            <w:r w:rsidRPr="00781F4C">
              <w:rPr>
                <w:sz w:val="16"/>
                <w:szCs w:val="16"/>
                <w:lang w:val="en-US" w:eastAsia="en-US"/>
              </w:rPr>
              <w:t>0.95697</w:t>
            </w:r>
          </w:p>
        </w:tc>
        <w:tc>
          <w:tcPr>
            <w:tcW w:w="625" w:type="pct"/>
            <w:vAlign w:val="center"/>
          </w:tcPr>
          <w:p w14:paraId="257A827B" w14:textId="4DF89014" w:rsidR="00372CE1" w:rsidRPr="00781F4C" w:rsidRDefault="001F5F7E" w:rsidP="00372CE1">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en-US" w:eastAsia="en-US"/>
              </w:rPr>
            </w:pPr>
            <w:r w:rsidRPr="00781F4C">
              <w:rPr>
                <w:rFonts w:asciiTheme="majorBidi" w:hAnsiTheme="majorBidi" w:cstheme="majorBidi"/>
                <w:sz w:val="16"/>
                <w:szCs w:val="16"/>
              </w:rPr>
              <w:t>***</w:t>
            </w:r>
          </w:p>
        </w:tc>
        <w:tc>
          <w:tcPr>
            <w:tcW w:w="1106" w:type="pct"/>
            <w:vAlign w:val="center"/>
          </w:tcPr>
          <w:p w14:paraId="67EC7422" w14:textId="21B0BE18" w:rsidR="00372CE1" w:rsidRPr="00781F4C" w:rsidRDefault="001E6281" w:rsidP="00372CE1">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jc w:val="center"/>
              <w:rPr>
                <w:sz w:val="16"/>
                <w:szCs w:val="16"/>
                <w:lang w:val="en-US" w:eastAsia="en-US"/>
              </w:rPr>
            </w:pPr>
            <w:r w:rsidRPr="00781F4C">
              <w:rPr>
                <w:sz w:val="16"/>
                <w:szCs w:val="16"/>
                <w:lang w:val="en-US" w:eastAsia="en-US"/>
              </w:rPr>
              <w:t>0.95873</w:t>
            </w:r>
          </w:p>
        </w:tc>
        <w:tc>
          <w:tcPr>
            <w:tcW w:w="577" w:type="pct"/>
            <w:vAlign w:val="center"/>
          </w:tcPr>
          <w:p w14:paraId="7530392E" w14:textId="7BCB2090" w:rsidR="00372CE1" w:rsidRPr="00781F4C" w:rsidRDefault="001F5F7E" w:rsidP="00372CE1">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en-US" w:eastAsia="en-US"/>
              </w:rPr>
            </w:pPr>
            <w:r w:rsidRPr="00781F4C">
              <w:rPr>
                <w:rFonts w:asciiTheme="majorBidi" w:hAnsiTheme="majorBidi" w:cstheme="majorBidi"/>
                <w:sz w:val="16"/>
                <w:szCs w:val="16"/>
              </w:rPr>
              <w:t>***</w:t>
            </w:r>
          </w:p>
        </w:tc>
        <w:tc>
          <w:tcPr>
            <w:tcW w:w="623" w:type="pct"/>
            <w:vAlign w:val="center"/>
          </w:tcPr>
          <w:p w14:paraId="560E8B14" w14:textId="6B1FEC38" w:rsidR="00372CE1" w:rsidRPr="00781F4C" w:rsidRDefault="001E6281" w:rsidP="00372CE1">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jc w:val="center"/>
              <w:rPr>
                <w:sz w:val="16"/>
                <w:szCs w:val="16"/>
                <w:lang w:val="en-US" w:eastAsia="en-US"/>
              </w:rPr>
            </w:pPr>
            <w:r w:rsidRPr="00781F4C">
              <w:rPr>
                <w:sz w:val="16"/>
                <w:szCs w:val="16"/>
                <w:lang w:val="en-US" w:eastAsia="en-US"/>
              </w:rPr>
              <w:t>5</w:t>
            </w:r>
            <w:r w:rsidR="00372CE1" w:rsidRPr="00781F4C">
              <w:rPr>
                <w:sz w:val="16"/>
                <w:szCs w:val="16"/>
                <w:lang w:val="en-US" w:eastAsia="en-US"/>
              </w:rPr>
              <w:t>00</w:t>
            </w:r>
          </w:p>
        </w:tc>
      </w:tr>
      <w:tr w:rsidR="00372CE1" w:rsidRPr="00781F4C" w14:paraId="2AA6F19E" w14:textId="77777777" w:rsidTr="009060B5">
        <w:trPr>
          <w:trHeight w:val="268"/>
        </w:trPr>
        <w:tc>
          <w:tcPr>
            <w:tcW w:w="963" w:type="pct"/>
            <w:vAlign w:val="center"/>
          </w:tcPr>
          <w:p w14:paraId="4C10211F" w14:textId="552C7635" w:rsidR="00372CE1" w:rsidRPr="00781F4C" w:rsidRDefault="00A84492" w:rsidP="00372CE1">
            <w:pPr>
              <w:keepNext/>
              <w:jc w:val="center"/>
              <w:rPr>
                <w:sz w:val="16"/>
                <w:szCs w:val="16"/>
                <w:lang w:val="en-GB" w:bidi="fa-IR"/>
              </w:rPr>
            </w:pPr>
            <w:r w:rsidRPr="00781F4C">
              <w:rPr>
                <w:sz w:val="16"/>
                <w:szCs w:val="16"/>
                <w:lang w:val="en-GB" w:bidi="fa-IR"/>
              </w:rPr>
              <w:t>TO</w:t>
            </w:r>
          </w:p>
        </w:tc>
        <w:tc>
          <w:tcPr>
            <w:tcW w:w="1106" w:type="pct"/>
            <w:vAlign w:val="center"/>
          </w:tcPr>
          <w:p w14:paraId="21D36EEA" w14:textId="485754A2" w:rsidR="00372CE1" w:rsidRPr="00781F4C" w:rsidRDefault="001E6281" w:rsidP="00372CE1">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jc w:val="center"/>
              <w:rPr>
                <w:sz w:val="16"/>
                <w:szCs w:val="16"/>
                <w:lang w:val="en-US" w:eastAsia="en-US"/>
              </w:rPr>
            </w:pPr>
            <w:r w:rsidRPr="00781F4C">
              <w:rPr>
                <w:sz w:val="16"/>
                <w:szCs w:val="16"/>
                <w:lang w:val="en-US" w:eastAsia="en-US"/>
              </w:rPr>
              <w:t>0.77188</w:t>
            </w:r>
          </w:p>
        </w:tc>
        <w:tc>
          <w:tcPr>
            <w:tcW w:w="625" w:type="pct"/>
            <w:vAlign w:val="center"/>
          </w:tcPr>
          <w:p w14:paraId="4752D9E1" w14:textId="72A497F2" w:rsidR="00372CE1" w:rsidRPr="00781F4C" w:rsidRDefault="001F5F7E" w:rsidP="00372CE1">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en-US" w:eastAsia="en-US"/>
              </w:rPr>
            </w:pPr>
            <w:r w:rsidRPr="00781F4C">
              <w:rPr>
                <w:rFonts w:asciiTheme="majorBidi" w:hAnsiTheme="majorBidi" w:cstheme="majorBidi"/>
                <w:sz w:val="16"/>
                <w:szCs w:val="16"/>
              </w:rPr>
              <w:t>***</w:t>
            </w:r>
          </w:p>
        </w:tc>
        <w:tc>
          <w:tcPr>
            <w:tcW w:w="1106" w:type="pct"/>
            <w:vAlign w:val="center"/>
          </w:tcPr>
          <w:p w14:paraId="507D6288" w14:textId="3A5FCC0F" w:rsidR="00372CE1" w:rsidRPr="00781F4C" w:rsidRDefault="001E6281" w:rsidP="00372CE1">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jc w:val="center"/>
              <w:rPr>
                <w:sz w:val="16"/>
                <w:szCs w:val="16"/>
                <w:lang w:val="en-US" w:eastAsia="en-US"/>
              </w:rPr>
            </w:pPr>
            <w:r w:rsidRPr="00781F4C">
              <w:rPr>
                <w:sz w:val="16"/>
                <w:szCs w:val="16"/>
                <w:lang w:val="en-US" w:eastAsia="en-US"/>
              </w:rPr>
              <w:t>0.77150</w:t>
            </w:r>
          </w:p>
        </w:tc>
        <w:tc>
          <w:tcPr>
            <w:tcW w:w="577" w:type="pct"/>
            <w:vAlign w:val="center"/>
          </w:tcPr>
          <w:p w14:paraId="7539D46B" w14:textId="79E2098F" w:rsidR="00372CE1" w:rsidRPr="00781F4C" w:rsidRDefault="001F5F7E" w:rsidP="00372CE1">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en-US" w:eastAsia="en-US"/>
              </w:rPr>
            </w:pPr>
            <w:r w:rsidRPr="00781F4C">
              <w:rPr>
                <w:rFonts w:asciiTheme="majorBidi" w:hAnsiTheme="majorBidi" w:cstheme="majorBidi"/>
                <w:sz w:val="16"/>
                <w:szCs w:val="16"/>
              </w:rPr>
              <w:t>***</w:t>
            </w:r>
          </w:p>
        </w:tc>
        <w:tc>
          <w:tcPr>
            <w:tcW w:w="623" w:type="pct"/>
            <w:vAlign w:val="center"/>
          </w:tcPr>
          <w:p w14:paraId="469704FB" w14:textId="5BCCDD7D" w:rsidR="00372CE1" w:rsidRPr="00781F4C" w:rsidRDefault="001E6281" w:rsidP="00372CE1">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jc w:val="center"/>
              <w:rPr>
                <w:sz w:val="16"/>
                <w:szCs w:val="16"/>
                <w:lang w:val="en-US" w:eastAsia="en-US"/>
              </w:rPr>
            </w:pPr>
            <w:r w:rsidRPr="00781F4C">
              <w:rPr>
                <w:sz w:val="16"/>
                <w:szCs w:val="16"/>
                <w:lang w:val="en-US" w:eastAsia="en-US"/>
              </w:rPr>
              <w:t>5</w:t>
            </w:r>
            <w:r w:rsidR="00372CE1" w:rsidRPr="00781F4C">
              <w:rPr>
                <w:sz w:val="16"/>
                <w:szCs w:val="16"/>
                <w:lang w:val="en-US" w:eastAsia="en-US"/>
              </w:rPr>
              <w:t>00</w:t>
            </w:r>
          </w:p>
        </w:tc>
      </w:tr>
      <w:tr w:rsidR="00372CE1" w:rsidRPr="00781F4C" w14:paraId="228BC022" w14:textId="77777777" w:rsidTr="009060B5">
        <w:trPr>
          <w:trHeight w:val="268"/>
        </w:trPr>
        <w:tc>
          <w:tcPr>
            <w:tcW w:w="963" w:type="pct"/>
            <w:vAlign w:val="center"/>
          </w:tcPr>
          <w:p w14:paraId="61900B78" w14:textId="07BBBD3F" w:rsidR="00372CE1" w:rsidRPr="00781F4C" w:rsidRDefault="001E6281" w:rsidP="00372CE1">
            <w:pPr>
              <w:keepNext/>
              <w:jc w:val="center"/>
              <w:rPr>
                <w:sz w:val="16"/>
                <w:szCs w:val="16"/>
                <w:lang w:val="en-GB" w:bidi="fa-IR"/>
              </w:rPr>
            </w:pPr>
            <w:r w:rsidRPr="00781F4C">
              <w:rPr>
                <w:sz w:val="16"/>
                <w:szCs w:val="16"/>
                <w:lang w:val="en-GB" w:bidi="fa-IR"/>
              </w:rPr>
              <w:t>UR</w:t>
            </w:r>
          </w:p>
        </w:tc>
        <w:tc>
          <w:tcPr>
            <w:tcW w:w="1106" w:type="pct"/>
            <w:vAlign w:val="center"/>
          </w:tcPr>
          <w:p w14:paraId="6E14E8F6" w14:textId="4DB275FB" w:rsidR="00372CE1" w:rsidRPr="00781F4C" w:rsidRDefault="001E6281" w:rsidP="00372CE1">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jc w:val="center"/>
              <w:rPr>
                <w:sz w:val="16"/>
                <w:szCs w:val="16"/>
                <w:lang w:val="en-US" w:eastAsia="en-US"/>
              </w:rPr>
            </w:pPr>
            <w:r w:rsidRPr="00781F4C">
              <w:rPr>
                <w:sz w:val="16"/>
                <w:szCs w:val="16"/>
                <w:lang w:val="en-US" w:eastAsia="en-US"/>
              </w:rPr>
              <w:t>0.94184</w:t>
            </w:r>
          </w:p>
        </w:tc>
        <w:tc>
          <w:tcPr>
            <w:tcW w:w="625" w:type="pct"/>
            <w:vAlign w:val="center"/>
          </w:tcPr>
          <w:p w14:paraId="333A1490" w14:textId="7ABC1F8A" w:rsidR="00372CE1" w:rsidRPr="00781F4C" w:rsidRDefault="001F5F7E" w:rsidP="00372CE1">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en-US" w:eastAsia="en-US"/>
              </w:rPr>
            </w:pPr>
            <w:r w:rsidRPr="00781F4C">
              <w:rPr>
                <w:rFonts w:asciiTheme="majorBidi" w:hAnsiTheme="majorBidi" w:cstheme="majorBidi"/>
                <w:sz w:val="16"/>
                <w:szCs w:val="16"/>
              </w:rPr>
              <w:t>***</w:t>
            </w:r>
          </w:p>
        </w:tc>
        <w:tc>
          <w:tcPr>
            <w:tcW w:w="1106" w:type="pct"/>
            <w:vAlign w:val="center"/>
          </w:tcPr>
          <w:p w14:paraId="5633A111" w14:textId="6892B418" w:rsidR="00372CE1" w:rsidRPr="00781F4C" w:rsidRDefault="001E6281" w:rsidP="00372CE1">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jc w:val="center"/>
              <w:rPr>
                <w:sz w:val="16"/>
                <w:szCs w:val="16"/>
                <w:lang w:val="en-US" w:eastAsia="en-US"/>
              </w:rPr>
            </w:pPr>
            <w:r w:rsidRPr="00781F4C">
              <w:rPr>
                <w:sz w:val="16"/>
                <w:szCs w:val="16"/>
                <w:lang w:val="en-US" w:eastAsia="en-US"/>
              </w:rPr>
              <w:t>0.93891</w:t>
            </w:r>
          </w:p>
        </w:tc>
        <w:tc>
          <w:tcPr>
            <w:tcW w:w="577" w:type="pct"/>
            <w:vAlign w:val="center"/>
          </w:tcPr>
          <w:p w14:paraId="15B6F154" w14:textId="525C497B" w:rsidR="00372CE1" w:rsidRPr="00781F4C" w:rsidRDefault="001F5F7E" w:rsidP="00372CE1">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en-US" w:eastAsia="en-US"/>
              </w:rPr>
            </w:pPr>
            <w:r w:rsidRPr="00781F4C">
              <w:rPr>
                <w:rFonts w:asciiTheme="majorBidi" w:hAnsiTheme="majorBidi" w:cstheme="majorBidi"/>
                <w:sz w:val="16"/>
                <w:szCs w:val="16"/>
              </w:rPr>
              <w:t>***</w:t>
            </w:r>
          </w:p>
        </w:tc>
        <w:tc>
          <w:tcPr>
            <w:tcW w:w="623" w:type="pct"/>
            <w:vAlign w:val="center"/>
          </w:tcPr>
          <w:p w14:paraId="2654E96D" w14:textId="60253B94" w:rsidR="00372CE1" w:rsidRPr="00781F4C" w:rsidRDefault="001E6281" w:rsidP="00372CE1">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jc w:val="center"/>
              <w:rPr>
                <w:sz w:val="16"/>
                <w:szCs w:val="16"/>
                <w:lang w:val="en-US" w:eastAsia="en-US"/>
              </w:rPr>
            </w:pPr>
            <w:r w:rsidRPr="00781F4C">
              <w:rPr>
                <w:sz w:val="16"/>
                <w:szCs w:val="16"/>
                <w:lang w:val="en-US" w:eastAsia="en-US"/>
              </w:rPr>
              <w:t>5</w:t>
            </w:r>
            <w:r w:rsidR="00372CE1" w:rsidRPr="00781F4C">
              <w:rPr>
                <w:sz w:val="16"/>
                <w:szCs w:val="16"/>
                <w:lang w:val="en-US" w:eastAsia="en-US"/>
              </w:rPr>
              <w:t>00</w:t>
            </w:r>
          </w:p>
        </w:tc>
      </w:tr>
      <w:tr w:rsidR="00372CE1" w:rsidRPr="00781F4C" w14:paraId="085F1C70" w14:textId="77777777" w:rsidTr="009060B5">
        <w:trPr>
          <w:trHeight w:val="146"/>
        </w:trPr>
        <w:tc>
          <w:tcPr>
            <w:tcW w:w="963" w:type="pct"/>
            <w:vAlign w:val="center"/>
          </w:tcPr>
          <w:p w14:paraId="6656A168" w14:textId="7AB5FE30" w:rsidR="00372CE1" w:rsidRPr="00781F4C" w:rsidRDefault="001E6281" w:rsidP="00372CE1">
            <w:pPr>
              <w:keepNext/>
              <w:jc w:val="center"/>
              <w:rPr>
                <w:sz w:val="16"/>
                <w:szCs w:val="16"/>
                <w:lang w:val="en-GB" w:bidi="fa-IR"/>
              </w:rPr>
            </w:pPr>
            <w:r w:rsidRPr="00781F4C">
              <w:rPr>
                <w:sz w:val="16"/>
                <w:szCs w:val="16"/>
                <w:lang w:val="en-GB" w:bidi="fa-IR"/>
              </w:rPr>
              <w:t>GDP</w:t>
            </w:r>
          </w:p>
        </w:tc>
        <w:tc>
          <w:tcPr>
            <w:tcW w:w="1106" w:type="pct"/>
            <w:vAlign w:val="center"/>
          </w:tcPr>
          <w:p w14:paraId="247AF072" w14:textId="7BD95B81" w:rsidR="00372CE1" w:rsidRPr="00781F4C" w:rsidRDefault="001E6281" w:rsidP="00372CE1">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jc w:val="center"/>
              <w:rPr>
                <w:sz w:val="16"/>
                <w:szCs w:val="16"/>
                <w:lang w:val="en-US" w:eastAsia="en-US"/>
              </w:rPr>
            </w:pPr>
            <w:r w:rsidRPr="00781F4C">
              <w:rPr>
                <w:sz w:val="16"/>
                <w:szCs w:val="16"/>
                <w:lang w:val="en-US" w:eastAsia="en-US"/>
              </w:rPr>
              <w:t>0.73594</w:t>
            </w:r>
          </w:p>
        </w:tc>
        <w:tc>
          <w:tcPr>
            <w:tcW w:w="625" w:type="pct"/>
            <w:vAlign w:val="center"/>
          </w:tcPr>
          <w:p w14:paraId="1B66FAD7" w14:textId="580EDE92" w:rsidR="00372CE1" w:rsidRPr="00781F4C" w:rsidRDefault="001F5F7E" w:rsidP="00372CE1">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en-US" w:eastAsia="en-US"/>
              </w:rPr>
            </w:pPr>
            <w:r w:rsidRPr="00781F4C">
              <w:rPr>
                <w:rFonts w:asciiTheme="majorBidi" w:hAnsiTheme="majorBidi" w:cstheme="majorBidi"/>
                <w:sz w:val="16"/>
                <w:szCs w:val="16"/>
              </w:rPr>
              <w:t>***</w:t>
            </w:r>
          </w:p>
        </w:tc>
        <w:tc>
          <w:tcPr>
            <w:tcW w:w="1106" w:type="pct"/>
            <w:vAlign w:val="center"/>
          </w:tcPr>
          <w:p w14:paraId="58B1D123" w14:textId="26366749" w:rsidR="00372CE1" w:rsidRPr="00781F4C" w:rsidRDefault="001E6281" w:rsidP="00372CE1">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jc w:val="center"/>
              <w:rPr>
                <w:sz w:val="16"/>
                <w:szCs w:val="16"/>
                <w:lang w:val="en-US" w:eastAsia="en-US"/>
              </w:rPr>
            </w:pPr>
            <w:r w:rsidRPr="00781F4C">
              <w:rPr>
                <w:sz w:val="16"/>
                <w:szCs w:val="16"/>
                <w:lang w:val="en-US" w:eastAsia="en-US"/>
              </w:rPr>
              <w:t>0.73724</w:t>
            </w:r>
          </w:p>
        </w:tc>
        <w:tc>
          <w:tcPr>
            <w:tcW w:w="577" w:type="pct"/>
            <w:vAlign w:val="center"/>
          </w:tcPr>
          <w:p w14:paraId="38B10D0C" w14:textId="5E969331" w:rsidR="00372CE1" w:rsidRPr="00781F4C" w:rsidRDefault="001F5F7E" w:rsidP="00372CE1">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en-US" w:eastAsia="en-US"/>
              </w:rPr>
            </w:pPr>
            <w:r w:rsidRPr="00781F4C">
              <w:rPr>
                <w:rFonts w:asciiTheme="majorBidi" w:hAnsiTheme="majorBidi" w:cstheme="majorBidi"/>
                <w:sz w:val="16"/>
                <w:szCs w:val="16"/>
              </w:rPr>
              <w:t>***</w:t>
            </w:r>
          </w:p>
        </w:tc>
        <w:tc>
          <w:tcPr>
            <w:tcW w:w="623" w:type="pct"/>
            <w:vAlign w:val="center"/>
          </w:tcPr>
          <w:p w14:paraId="7B4E5D52" w14:textId="2AA8F35A" w:rsidR="00372CE1" w:rsidRPr="00781F4C" w:rsidRDefault="001E6281" w:rsidP="00372CE1">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jc w:val="center"/>
              <w:rPr>
                <w:sz w:val="16"/>
                <w:szCs w:val="16"/>
                <w:lang w:val="en-US" w:eastAsia="en-US"/>
              </w:rPr>
            </w:pPr>
            <w:r w:rsidRPr="00781F4C">
              <w:rPr>
                <w:sz w:val="16"/>
                <w:szCs w:val="16"/>
                <w:lang w:val="en-US" w:eastAsia="en-US"/>
              </w:rPr>
              <w:t>5</w:t>
            </w:r>
            <w:r w:rsidR="00372CE1" w:rsidRPr="00781F4C">
              <w:rPr>
                <w:sz w:val="16"/>
                <w:szCs w:val="16"/>
                <w:lang w:val="en-US" w:eastAsia="en-US"/>
              </w:rPr>
              <w:t>00</w:t>
            </w:r>
          </w:p>
        </w:tc>
      </w:tr>
      <w:tr w:rsidR="00372CE1" w:rsidRPr="00781F4C" w14:paraId="2674E69B" w14:textId="77777777" w:rsidTr="009060B5">
        <w:trPr>
          <w:trHeight w:val="268"/>
        </w:trPr>
        <w:tc>
          <w:tcPr>
            <w:tcW w:w="963" w:type="pct"/>
            <w:vAlign w:val="center"/>
          </w:tcPr>
          <w:p w14:paraId="2A46BF7C" w14:textId="25BFA8CC" w:rsidR="00372CE1" w:rsidRPr="00781F4C" w:rsidRDefault="001E6281" w:rsidP="00372CE1">
            <w:pPr>
              <w:keepNext/>
              <w:jc w:val="center"/>
              <w:rPr>
                <w:sz w:val="16"/>
                <w:szCs w:val="16"/>
                <w:lang w:val="en-GB" w:bidi="fa-IR"/>
              </w:rPr>
            </w:pPr>
            <w:r w:rsidRPr="00781F4C">
              <w:rPr>
                <w:sz w:val="16"/>
                <w:szCs w:val="16"/>
                <w:lang w:val="en-GB" w:bidi="fa-IR"/>
              </w:rPr>
              <w:t>F</w:t>
            </w:r>
            <w:r w:rsidR="00A84492" w:rsidRPr="00781F4C">
              <w:rPr>
                <w:sz w:val="16"/>
                <w:szCs w:val="16"/>
                <w:lang w:val="en-GB" w:bidi="fa-IR"/>
              </w:rPr>
              <w:t>R</w:t>
            </w:r>
          </w:p>
        </w:tc>
        <w:tc>
          <w:tcPr>
            <w:tcW w:w="1106" w:type="pct"/>
            <w:vAlign w:val="center"/>
          </w:tcPr>
          <w:p w14:paraId="772CD4BB" w14:textId="436610A5" w:rsidR="00372CE1" w:rsidRPr="00781F4C" w:rsidRDefault="001E6281" w:rsidP="00372CE1">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jc w:val="center"/>
              <w:rPr>
                <w:sz w:val="16"/>
                <w:szCs w:val="16"/>
                <w:lang w:val="en-US" w:eastAsia="en-US"/>
              </w:rPr>
            </w:pPr>
            <w:r w:rsidRPr="00781F4C">
              <w:rPr>
                <w:sz w:val="16"/>
                <w:szCs w:val="16"/>
                <w:lang w:val="en-US" w:eastAsia="en-US"/>
              </w:rPr>
              <w:t>0.96084</w:t>
            </w:r>
          </w:p>
        </w:tc>
        <w:tc>
          <w:tcPr>
            <w:tcW w:w="625" w:type="pct"/>
            <w:vAlign w:val="center"/>
          </w:tcPr>
          <w:p w14:paraId="0DE9FE3A" w14:textId="60926B89" w:rsidR="00372CE1" w:rsidRPr="00781F4C" w:rsidRDefault="001F5F7E" w:rsidP="00372CE1">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en-US" w:eastAsia="en-US"/>
              </w:rPr>
            </w:pPr>
            <w:r w:rsidRPr="00781F4C">
              <w:rPr>
                <w:rFonts w:asciiTheme="majorBidi" w:hAnsiTheme="majorBidi" w:cstheme="majorBidi"/>
                <w:sz w:val="16"/>
                <w:szCs w:val="16"/>
              </w:rPr>
              <w:t>***</w:t>
            </w:r>
          </w:p>
        </w:tc>
        <w:tc>
          <w:tcPr>
            <w:tcW w:w="1106" w:type="pct"/>
            <w:vAlign w:val="center"/>
          </w:tcPr>
          <w:p w14:paraId="64CAA6F3" w14:textId="2649DEF0" w:rsidR="00372CE1" w:rsidRPr="00781F4C" w:rsidRDefault="001E6281" w:rsidP="00372CE1">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jc w:val="center"/>
              <w:rPr>
                <w:sz w:val="16"/>
                <w:szCs w:val="16"/>
                <w:lang w:val="en-US" w:eastAsia="en-US"/>
              </w:rPr>
            </w:pPr>
            <w:r w:rsidRPr="00781F4C">
              <w:rPr>
                <w:sz w:val="16"/>
                <w:szCs w:val="16"/>
                <w:lang w:val="en-US" w:eastAsia="en-US"/>
              </w:rPr>
              <w:t>0.96162</w:t>
            </w:r>
          </w:p>
        </w:tc>
        <w:tc>
          <w:tcPr>
            <w:tcW w:w="577" w:type="pct"/>
            <w:vAlign w:val="center"/>
          </w:tcPr>
          <w:p w14:paraId="4D7394BD" w14:textId="11A06248" w:rsidR="00372CE1" w:rsidRPr="00781F4C" w:rsidRDefault="001F5F7E" w:rsidP="00372CE1">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en-US" w:eastAsia="en-US"/>
              </w:rPr>
            </w:pPr>
            <w:r w:rsidRPr="00781F4C">
              <w:rPr>
                <w:rFonts w:asciiTheme="majorBidi" w:hAnsiTheme="majorBidi" w:cstheme="majorBidi"/>
                <w:sz w:val="16"/>
                <w:szCs w:val="16"/>
              </w:rPr>
              <w:t>***</w:t>
            </w:r>
          </w:p>
        </w:tc>
        <w:tc>
          <w:tcPr>
            <w:tcW w:w="623" w:type="pct"/>
            <w:vAlign w:val="center"/>
          </w:tcPr>
          <w:p w14:paraId="661DF60B" w14:textId="5EDB781C" w:rsidR="00372CE1" w:rsidRPr="00781F4C" w:rsidRDefault="001E6281" w:rsidP="00372CE1">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jc w:val="center"/>
              <w:rPr>
                <w:sz w:val="16"/>
                <w:szCs w:val="16"/>
                <w:lang w:val="en-US" w:eastAsia="en-US"/>
              </w:rPr>
            </w:pPr>
            <w:r w:rsidRPr="00781F4C">
              <w:rPr>
                <w:sz w:val="16"/>
                <w:szCs w:val="16"/>
                <w:lang w:val="en-US" w:eastAsia="en-US"/>
              </w:rPr>
              <w:t>5</w:t>
            </w:r>
            <w:r w:rsidR="00372CE1" w:rsidRPr="00781F4C">
              <w:rPr>
                <w:sz w:val="16"/>
                <w:szCs w:val="16"/>
                <w:lang w:val="en-US" w:eastAsia="en-US"/>
              </w:rPr>
              <w:t>00</w:t>
            </w:r>
          </w:p>
        </w:tc>
      </w:tr>
      <w:tr w:rsidR="00372CE1" w:rsidRPr="00781F4C" w14:paraId="66361D1A" w14:textId="77777777" w:rsidTr="009060B5">
        <w:trPr>
          <w:trHeight w:val="80"/>
        </w:trPr>
        <w:tc>
          <w:tcPr>
            <w:tcW w:w="5000" w:type="pct"/>
            <w:gridSpan w:val="6"/>
            <w:tcBorders>
              <w:top w:val="single" w:sz="24" w:space="0" w:color="auto"/>
            </w:tcBorders>
            <w:vAlign w:val="center"/>
          </w:tcPr>
          <w:p w14:paraId="6DBF7D48" w14:textId="106940E1" w:rsidR="00372CE1" w:rsidRPr="00781F4C" w:rsidRDefault="00372CE1" w:rsidP="00DA5AA3">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val="en-US" w:eastAsia="en-US"/>
              </w:rPr>
            </w:pPr>
            <w:r w:rsidRPr="00781F4C">
              <w:rPr>
                <w:rFonts w:eastAsia="Calibri"/>
                <w:sz w:val="16"/>
                <w:szCs w:val="16"/>
                <w:lang w:val="en-US" w:eastAsia="en-US"/>
              </w:rPr>
              <w:t xml:space="preserve">Notes: </w:t>
            </w:r>
            <w:r w:rsidR="001F5F7E" w:rsidRPr="00781F4C">
              <w:rPr>
                <w:rFonts w:asciiTheme="majorBidi" w:hAnsiTheme="majorBidi" w:cstheme="majorBidi"/>
                <w:sz w:val="16"/>
                <w:szCs w:val="16"/>
              </w:rPr>
              <w:t>*** denotes statistical significance at 1% level.</w:t>
            </w:r>
          </w:p>
        </w:tc>
      </w:tr>
    </w:tbl>
    <w:p w14:paraId="5CE3342F" w14:textId="77777777" w:rsidR="00372CE1" w:rsidRPr="00781F4C" w:rsidRDefault="00372CE1" w:rsidP="008E08A5">
      <w:pPr>
        <w:ind w:firstLine="720"/>
        <w:jc w:val="both"/>
        <w:rPr>
          <w:lang w:val="en-US"/>
        </w:rPr>
      </w:pPr>
    </w:p>
    <w:p w14:paraId="70DE4A19" w14:textId="5E114AD9" w:rsidR="00092A94" w:rsidRPr="00781F4C" w:rsidRDefault="00092A94" w:rsidP="006D2EBD">
      <w:pPr>
        <w:ind w:firstLine="284"/>
        <w:jc w:val="both"/>
        <w:rPr>
          <w:rFonts w:eastAsia="Calibri"/>
          <w:sz w:val="20"/>
          <w:szCs w:val="20"/>
          <w:lang w:val="en-US"/>
        </w:rPr>
      </w:pPr>
      <w:r w:rsidRPr="00781F4C">
        <w:rPr>
          <w:rFonts w:eastAsia="Calibri"/>
          <w:sz w:val="20"/>
          <w:szCs w:val="20"/>
          <w:lang w:val="en-US"/>
        </w:rPr>
        <w:t xml:space="preserve">An abnormal distribution of data is </w:t>
      </w:r>
      <w:r w:rsidR="009C7BA5" w:rsidRPr="00781F4C">
        <w:rPr>
          <w:rFonts w:eastAsia="Calibri"/>
          <w:sz w:val="20"/>
          <w:szCs w:val="20"/>
        </w:rPr>
        <w:t>a prerequisite for using quantile</w:t>
      </w:r>
      <w:r w:rsidRPr="00781F4C">
        <w:rPr>
          <w:rFonts w:eastAsia="Calibri"/>
          <w:sz w:val="20"/>
          <w:szCs w:val="20"/>
          <w:lang w:val="en-US"/>
        </w:rPr>
        <w:t xml:space="preserve"> panel regression. If the data have an abnormal distribution, the results of the </w:t>
      </w:r>
      <w:r w:rsidR="009C7BA5" w:rsidRPr="00781F4C">
        <w:rPr>
          <w:rFonts w:eastAsia="Calibri"/>
          <w:sz w:val="20"/>
          <w:szCs w:val="20"/>
        </w:rPr>
        <w:t xml:space="preserve">quantile </w:t>
      </w:r>
      <w:r w:rsidRPr="00781F4C">
        <w:rPr>
          <w:rFonts w:eastAsia="Calibri"/>
          <w:sz w:val="20"/>
          <w:szCs w:val="20"/>
          <w:lang w:val="en-US"/>
        </w:rPr>
        <w:t>regression estimate are slightly stronger than the OLS estimate (</w:t>
      </w:r>
      <w:proofErr w:type="spellStart"/>
      <w:r w:rsidR="00CA3DDC" w:rsidRPr="00781F4C">
        <w:rPr>
          <w:rFonts w:eastAsia="Calibri"/>
          <w:sz w:val="20"/>
          <w:szCs w:val="20"/>
          <w:lang w:val="en-US"/>
        </w:rPr>
        <w:t>Koenker</w:t>
      </w:r>
      <w:proofErr w:type="spellEnd"/>
      <w:r w:rsidR="00CA3DDC" w:rsidRPr="00781F4C">
        <w:rPr>
          <w:rFonts w:eastAsia="Calibri"/>
          <w:sz w:val="20"/>
          <w:szCs w:val="20"/>
          <w:lang w:val="en-US"/>
        </w:rPr>
        <w:t xml:space="preserve"> and Xiao</w:t>
      </w:r>
      <w:r w:rsidR="009A5719" w:rsidRPr="00781F4C">
        <w:rPr>
          <w:rFonts w:eastAsia="Calibri"/>
          <w:sz w:val="20"/>
          <w:szCs w:val="20"/>
          <w:lang w:val="en-US"/>
        </w:rPr>
        <w:t>,</w:t>
      </w:r>
      <w:r w:rsidRPr="00781F4C">
        <w:rPr>
          <w:rFonts w:eastAsia="Calibri"/>
          <w:sz w:val="20"/>
          <w:szCs w:val="20"/>
          <w:lang w:val="en-US"/>
        </w:rPr>
        <w:t xml:space="preserve"> 2002). Therefore, before performing</w:t>
      </w:r>
      <w:r w:rsidR="009C7BA5" w:rsidRPr="00781F4C">
        <w:rPr>
          <w:rFonts w:eastAsia="Calibri"/>
          <w:sz w:val="20"/>
          <w:szCs w:val="20"/>
        </w:rPr>
        <w:t xml:space="preserve"> a</w:t>
      </w:r>
      <w:r w:rsidRPr="00781F4C">
        <w:rPr>
          <w:rFonts w:eastAsia="Calibri"/>
          <w:sz w:val="20"/>
          <w:szCs w:val="20"/>
          <w:lang w:val="en-US"/>
        </w:rPr>
        <w:t xml:space="preserve"> regression analysis, the normality of all variables should be tested. In this research, </w:t>
      </w:r>
      <w:r w:rsidR="009C7BA5" w:rsidRPr="00781F4C">
        <w:rPr>
          <w:rFonts w:eastAsia="Calibri"/>
          <w:sz w:val="20"/>
          <w:szCs w:val="20"/>
          <w:lang w:val="en-US"/>
        </w:rPr>
        <w:t xml:space="preserve">the </w:t>
      </w:r>
      <w:r w:rsidRPr="00781F4C">
        <w:rPr>
          <w:rFonts w:eastAsia="Calibri"/>
          <w:sz w:val="20"/>
          <w:szCs w:val="20"/>
          <w:lang w:val="en-US"/>
        </w:rPr>
        <w:t xml:space="preserve">numerical method has been used to check the normality of the data. In the numerical method, </w:t>
      </w:r>
      <w:r w:rsidR="009C7BA5" w:rsidRPr="00781F4C">
        <w:rPr>
          <w:rFonts w:eastAsia="Calibri"/>
          <w:sz w:val="20"/>
          <w:szCs w:val="20"/>
          <w:lang w:val="en-US"/>
        </w:rPr>
        <w:t>Shapiro-Wilk (</w:t>
      </w:r>
      <w:r w:rsidR="00CA3DDC" w:rsidRPr="00781F4C">
        <w:rPr>
          <w:rFonts w:eastAsia="Calibri"/>
          <w:sz w:val="20"/>
          <w:szCs w:val="20"/>
          <w:lang w:val="en-US"/>
        </w:rPr>
        <w:t>Royston</w:t>
      </w:r>
      <w:r w:rsidR="009A5719" w:rsidRPr="00781F4C">
        <w:rPr>
          <w:rFonts w:eastAsia="Calibri"/>
          <w:sz w:val="20"/>
          <w:szCs w:val="20"/>
          <w:lang w:val="en-US"/>
        </w:rPr>
        <w:t>,</w:t>
      </w:r>
      <w:r w:rsidR="009C7BA5" w:rsidRPr="00781F4C">
        <w:rPr>
          <w:rFonts w:eastAsia="Calibri"/>
          <w:sz w:val="20"/>
          <w:szCs w:val="20"/>
          <w:lang w:val="en-US"/>
        </w:rPr>
        <w:t xml:space="preserve"> 1992) and Shapiro-France (</w:t>
      </w:r>
      <w:r w:rsidR="00CA3DDC" w:rsidRPr="00781F4C">
        <w:rPr>
          <w:rFonts w:eastAsia="Calibri"/>
          <w:sz w:val="20"/>
          <w:szCs w:val="20"/>
          <w:lang w:val="en-US"/>
        </w:rPr>
        <w:t>Royston</w:t>
      </w:r>
      <w:r w:rsidR="009A5719" w:rsidRPr="00781F4C">
        <w:rPr>
          <w:rFonts w:eastAsia="Calibri"/>
          <w:sz w:val="20"/>
          <w:szCs w:val="20"/>
          <w:lang w:val="en-US"/>
        </w:rPr>
        <w:t>,</w:t>
      </w:r>
      <w:r w:rsidR="009C7BA5" w:rsidRPr="00781F4C">
        <w:rPr>
          <w:rFonts w:eastAsia="Calibri"/>
          <w:sz w:val="20"/>
          <w:szCs w:val="20"/>
          <w:lang w:val="en-US"/>
        </w:rPr>
        <w:t xml:space="preserve"> 1983) tests were applied to measure the normality of the data</w:t>
      </w:r>
      <w:r w:rsidRPr="00781F4C">
        <w:rPr>
          <w:rFonts w:eastAsia="Calibri"/>
          <w:sz w:val="20"/>
          <w:szCs w:val="20"/>
          <w:lang w:val="en-US"/>
        </w:rPr>
        <w:t xml:space="preserve">. Table </w:t>
      </w:r>
      <w:r w:rsidR="007368DC" w:rsidRPr="00781F4C">
        <w:rPr>
          <w:rFonts w:eastAsia="Calibri"/>
          <w:sz w:val="20"/>
          <w:szCs w:val="20"/>
          <w:lang w:val="en-US"/>
        </w:rPr>
        <w:t>3</w:t>
      </w:r>
      <w:r w:rsidRPr="00781F4C">
        <w:rPr>
          <w:rFonts w:eastAsia="Calibri"/>
          <w:sz w:val="20"/>
          <w:szCs w:val="20"/>
          <w:lang w:val="en-US"/>
        </w:rPr>
        <w:t xml:space="preserve"> shows that the probability values ​​of Shapiro-Wilk and Shapiro-France tests are significant for all variables </w:t>
      </w:r>
      <w:r w:rsidR="009C7BA5" w:rsidRPr="00781F4C">
        <w:rPr>
          <w:rFonts w:eastAsia="Calibri"/>
          <w:sz w:val="20"/>
          <w:szCs w:val="20"/>
          <w:lang w:val="en-US"/>
        </w:rPr>
        <w:t xml:space="preserve">at the </w:t>
      </w:r>
      <w:r w:rsidR="008978F6" w:rsidRPr="00781F4C">
        <w:rPr>
          <w:rFonts w:eastAsia="Calibri"/>
          <w:sz w:val="20"/>
          <w:szCs w:val="20"/>
          <w:lang w:val="en-US"/>
        </w:rPr>
        <w:t>level of less than 1%</w:t>
      </w:r>
      <w:r w:rsidR="009C7BA5" w:rsidRPr="00781F4C">
        <w:rPr>
          <w:rFonts w:eastAsia="Calibri"/>
          <w:sz w:val="20"/>
          <w:szCs w:val="20"/>
          <w:lang w:val="en-US"/>
        </w:rPr>
        <w:t>, so we conclude</w:t>
      </w:r>
      <w:r w:rsidRPr="00781F4C">
        <w:rPr>
          <w:rFonts w:eastAsia="Calibri"/>
          <w:sz w:val="20"/>
          <w:szCs w:val="20"/>
          <w:lang w:val="en-US"/>
        </w:rPr>
        <w:t xml:space="preserve"> </w:t>
      </w:r>
      <w:r w:rsidR="009C7BA5" w:rsidRPr="00781F4C">
        <w:rPr>
          <w:rFonts w:eastAsia="Calibri"/>
          <w:sz w:val="20"/>
          <w:szCs w:val="20"/>
          <w:lang w:val="en-US"/>
        </w:rPr>
        <w:t>that the variables are non-normal.</w:t>
      </w:r>
    </w:p>
    <w:p w14:paraId="6F910991" w14:textId="30EAA4EC" w:rsidR="00F35602" w:rsidRPr="00781F4C" w:rsidRDefault="00F35602" w:rsidP="002E0920">
      <w:pPr>
        <w:ind w:firstLine="284"/>
        <w:jc w:val="both"/>
        <w:rPr>
          <w:rFonts w:eastAsia="Calibri"/>
          <w:sz w:val="20"/>
          <w:szCs w:val="20"/>
          <w:lang w:val="en-US"/>
        </w:rPr>
      </w:pPr>
      <w:r w:rsidRPr="00781F4C">
        <w:rPr>
          <w:rFonts w:eastAsia="Calibri"/>
          <w:sz w:val="20"/>
          <w:szCs w:val="20"/>
          <w:lang w:val="en-US"/>
        </w:rPr>
        <w:t xml:space="preserve">After checking the normality of the variables, we examine </w:t>
      </w:r>
      <w:r w:rsidR="0046319E" w:rsidRPr="00781F4C">
        <w:rPr>
          <w:rFonts w:eastAsia="Calibri"/>
          <w:sz w:val="20"/>
          <w:szCs w:val="20"/>
          <w:lang w:val="en-US"/>
        </w:rPr>
        <w:t>the variance inflation</w:t>
      </w:r>
      <w:r w:rsidRPr="00781F4C">
        <w:rPr>
          <w:rFonts w:eastAsia="Calibri"/>
          <w:sz w:val="20"/>
          <w:szCs w:val="20"/>
          <w:lang w:val="en-US"/>
        </w:rPr>
        <w:t xml:space="preserve"> factor (VIF) to check</w:t>
      </w:r>
      <w:r w:rsidR="0046319E" w:rsidRPr="00781F4C">
        <w:rPr>
          <w:rFonts w:eastAsia="Calibri"/>
          <w:sz w:val="20"/>
          <w:szCs w:val="20"/>
          <w:lang w:val="en-US"/>
        </w:rPr>
        <w:t xml:space="preserve"> the multicollinearity of variables</w:t>
      </w:r>
      <w:r w:rsidR="00A1202D" w:rsidRPr="00781F4C">
        <w:rPr>
          <w:rFonts w:eastAsia="Calibri"/>
          <w:sz w:val="20"/>
          <w:szCs w:val="20"/>
          <w:lang w:val="en-US"/>
        </w:rPr>
        <w:t xml:space="preserve"> (</w:t>
      </w:r>
      <w:r w:rsidR="007368DC" w:rsidRPr="00781F4C">
        <w:rPr>
          <w:rFonts w:eastAsia="Calibri"/>
          <w:sz w:val="20"/>
          <w:szCs w:val="20"/>
          <w:lang w:val="en-US"/>
        </w:rPr>
        <w:t>Belsley et al.</w:t>
      </w:r>
      <w:r w:rsidR="009A5719" w:rsidRPr="00781F4C">
        <w:rPr>
          <w:rFonts w:eastAsia="Calibri"/>
          <w:sz w:val="20"/>
          <w:szCs w:val="20"/>
          <w:lang w:val="en-US"/>
        </w:rPr>
        <w:t>,</w:t>
      </w:r>
      <w:r w:rsidR="00A1202D" w:rsidRPr="00781F4C">
        <w:rPr>
          <w:rFonts w:eastAsia="Calibri"/>
          <w:sz w:val="20"/>
          <w:szCs w:val="20"/>
          <w:lang w:val="en-US"/>
        </w:rPr>
        <w:t xml:space="preserve"> 2005). </w:t>
      </w:r>
      <w:r w:rsidR="0046319E" w:rsidRPr="00781F4C">
        <w:rPr>
          <w:rFonts w:eastAsia="Calibri"/>
          <w:sz w:val="20"/>
          <w:szCs w:val="20"/>
          <w:lang w:val="en-US"/>
        </w:rPr>
        <w:t>The results of the multicol</w:t>
      </w:r>
      <w:r w:rsidRPr="00781F4C">
        <w:rPr>
          <w:rFonts w:eastAsia="Calibri"/>
          <w:sz w:val="20"/>
          <w:szCs w:val="20"/>
          <w:lang w:val="en-US"/>
        </w:rPr>
        <w:t>linearity test show that the VIF</w:t>
      </w:r>
      <w:r w:rsidR="0046319E" w:rsidRPr="00781F4C">
        <w:rPr>
          <w:rFonts w:eastAsia="Calibri"/>
          <w:sz w:val="20"/>
          <w:szCs w:val="20"/>
          <w:lang w:val="en-US"/>
        </w:rPr>
        <w:t xml:space="preserve"> values for all variables are less than the usual</w:t>
      </w:r>
      <w:r w:rsidR="00436630" w:rsidRPr="00781F4C">
        <w:rPr>
          <w:rFonts w:eastAsia="Calibri"/>
          <w:sz w:val="20"/>
          <w:szCs w:val="20"/>
          <w:lang w:val="en-US"/>
        </w:rPr>
        <w:t>ly</w:t>
      </w:r>
      <w:r w:rsidRPr="00781F4C">
        <w:rPr>
          <w:rFonts w:eastAsia="Calibri"/>
          <w:sz w:val="20"/>
          <w:szCs w:val="20"/>
          <w:lang w:val="en-US"/>
        </w:rPr>
        <w:t xml:space="preserve"> accepted standard of 10. In addition,</w:t>
      </w:r>
      <w:r w:rsidR="0046319E" w:rsidRPr="00781F4C">
        <w:rPr>
          <w:rFonts w:eastAsia="Calibri"/>
          <w:sz w:val="20"/>
          <w:szCs w:val="20"/>
          <w:lang w:val="en-US"/>
        </w:rPr>
        <w:t xml:space="preserve"> th</w:t>
      </w:r>
      <w:r w:rsidR="007368DC" w:rsidRPr="00781F4C">
        <w:rPr>
          <w:rFonts w:eastAsia="Calibri"/>
          <w:sz w:val="20"/>
          <w:szCs w:val="20"/>
          <w:lang w:val="en-US"/>
        </w:rPr>
        <w:t>e mean VIF</w:t>
      </w:r>
      <w:r w:rsidRPr="00781F4C">
        <w:rPr>
          <w:rFonts w:eastAsia="Calibri"/>
          <w:sz w:val="20"/>
          <w:szCs w:val="20"/>
          <w:lang w:val="en-US"/>
        </w:rPr>
        <w:t xml:space="preserve"> of the variables is 1.65</w:t>
      </w:r>
      <w:r w:rsidR="0046319E" w:rsidRPr="00781F4C">
        <w:rPr>
          <w:rFonts w:eastAsia="Calibri"/>
          <w:sz w:val="20"/>
          <w:szCs w:val="20"/>
          <w:lang w:val="en-US"/>
        </w:rPr>
        <w:t xml:space="preserve"> and is le</w:t>
      </w:r>
      <w:r w:rsidRPr="00781F4C">
        <w:rPr>
          <w:rFonts w:eastAsia="Calibri"/>
          <w:sz w:val="20"/>
          <w:szCs w:val="20"/>
          <w:lang w:val="en-US"/>
        </w:rPr>
        <w:t xml:space="preserve">ss than the accepted value of 6. </w:t>
      </w:r>
      <w:proofErr w:type="gramStart"/>
      <w:r w:rsidRPr="00781F4C">
        <w:rPr>
          <w:rFonts w:eastAsia="Calibri"/>
          <w:sz w:val="20"/>
          <w:szCs w:val="20"/>
          <w:lang w:val="en-US"/>
        </w:rPr>
        <w:t>So</w:t>
      </w:r>
      <w:proofErr w:type="gramEnd"/>
      <w:r w:rsidRPr="00781F4C">
        <w:rPr>
          <w:rFonts w:eastAsia="Calibri"/>
          <w:sz w:val="20"/>
          <w:szCs w:val="20"/>
          <w:lang w:val="en-US"/>
        </w:rPr>
        <w:t xml:space="preserve"> t</w:t>
      </w:r>
      <w:r w:rsidR="0046319E" w:rsidRPr="00781F4C">
        <w:rPr>
          <w:rFonts w:eastAsia="Calibri"/>
          <w:sz w:val="20"/>
          <w:szCs w:val="20"/>
          <w:lang w:val="en-US"/>
        </w:rPr>
        <w:t xml:space="preserve">he result </w:t>
      </w:r>
      <w:r w:rsidRPr="00781F4C">
        <w:rPr>
          <w:rFonts w:eastAsia="Calibri"/>
          <w:sz w:val="20"/>
          <w:szCs w:val="20"/>
          <w:lang w:val="en-US"/>
        </w:rPr>
        <w:t>indicated</w:t>
      </w:r>
      <w:r w:rsidR="0046319E" w:rsidRPr="00781F4C">
        <w:rPr>
          <w:rFonts w:eastAsia="Calibri"/>
          <w:sz w:val="20"/>
          <w:szCs w:val="20"/>
          <w:lang w:val="en-US"/>
        </w:rPr>
        <w:t xml:space="preserve"> that there is no harmful multicollinearity problem (see Table 4</w:t>
      </w:r>
      <w:r w:rsidRPr="00781F4C">
        <w:rPr>
          <w:rFonts w:eastAsia="Calibri"/>
          <w:sz w:val="20"/>
          <w:szCs w:val="20"/>
          <w:lang w:val="en-US"/>
        </w:rPr>
        <w:t xml:space="preserve">, below). </w:t>
      </w:r>
    </w:p>
    <w:p w14:paraId="7927584E" w14:textId="34C5B984" w:rsidR="009D639C" w:rsidRPr="00781F4C" w:rsidRDefault="002B7175" w:rsidP="006D2EBD">
      <w:pPr>
        <w:ind w:firstLine="284"/>
        <w:jc w:val="both"/>
        <w:rPr>
          <w:rFonts w:eastAsia="Calibri"/>
          <w:sz w:val="20"/>
          <w:szCs w:val="20"/>
          <w:lang w:val="en-US"/>
        </w:rPr>
      </w:pPr>
      <w:r w:rsidRPr="00781F4C">
        <w:rPr>
          <w:rFonts w:eastAsia="Calibri"/>
          <w:sz w:val="20"/>
          <w:szCs w:val="20"/>
          <w:lang w:val="en-US"/>
        </w:rPr>
        <w:t>I</w:t>
      </w:r>
      <w:r w:rsidR="00105F0D" w:rsidRPr="00781F4C">
        <w:rPr>
          <w:rFonts w:eastAsia="Calibri"/>
          <w:sz w:val="20"/>
          <w:szCs w:val="20"/>
          <w:lang w:val="en-US"/>
        </w:rPr>
        <w:t>n this study, the number of sections is equal to 20 and the</w:t>
      </w:r>
      <w:r w:rsidR="007C2153" w:rsidRPr="00781F4C">
        <w:rPr>
          <w:rFonts w:eastAsia="Calibri"/>
          <w:sz w:val="20"/>
          <w:szCs w:val="20"/>
          <w:lang w:val="en-US"/>
        </w:rPr>
        <w:t xml:space="preserve"> number of years is equal to 25 (</w:t>
      </w:r>
      <m:oMath>
        <m:r>
          <m:rPr>
            <m:sty m:val="p"/>
          </m:rPr>
          <w:rPr>
            <w:rFonts w:ascii="Cambria Math" w:eastAsia="Calibri" w:hAnsi="Cambria Math"/>
            <w:sz w:val="20"/>
            <w:szCs w:val="20"/>
            <w:lang w:val="en-US"/>
          </w:rPr>
          <m:t>t&gt;n</m:t>
        </m:r>
      </m:oMath>
      <w:r w:rsidR="007C2153" w:rsidRPr="00781F4C">
        <w:rPr>
          <w:rFonts w:eastAsia="Calibri"/>
          <w:sz w:val="20"/>
          <w:szCs w:val="20"/>
          <w:lang w:val="en-US"/>
        </w:rPr>
        <w:t>).</w:t>
      </w:r>
      <w:r w:rsidR="000D3C21" w:rsidRPr="00781F4C">
        <w:rPr>
          <w:rFonts w:eastAsia="Calibri"/>
          <w:sz w:val="20"/>
          <w:szCs w:val="20"/>
          <w:lang w:val="en-US"/>
        </w:rPr>
        <w:t xml:space="preserve"> </w:t>
      </w:r>
      <w:proofErr w:type="gramStart"/>
      <w:r w:rsidR="00105F0D" w:rsidRPr="00781F4C">
        <w:rPr>
          <w:rFonts w:eastAsia="Calibri"/>
          <w:sz w:val="20"/>
          <w:szCs w:val="20"/>
          <w:lang w:val="en-US"/>
        </w:rPr>
        <w:t>So</w:t>
      </w:r>
      <w:proofErr w:type="gramEnd"/>
      <w:r w:rsidR="00105F0D" w:rsidRPr="00781F4C">
        <w:rPr>
          <w:rFonts w:eastAsia="Calibri"/>
          <w:sz w:val="20"/>
          <w:szCs w:val="20"/>
          <w:lang w:val="en-US"/>
        </w:rPr>
        <w:t xml:space="preserve"> the LM test (Breusch- Pagan, 1980) is used to examine cross-sectional dependence (CSD) in the panel data.</w:t>
      </w:r>
      <w:r w:rsidR="000D3C21" w:rsidRPr="00781F4C">
        <w:rPr>
          <w:rFonts w:eastAsia="Calibri"/>
          <w:sz w:val="20"/>
          <w:szCs w:val="20"/>
          <w:lang w:val="en-US"/>
        </w:rPr>
        <w:t xml:space="preserve"> </w:t>
      </w:r>
      <w:r w:rsidR="00436630" w:rsidRPr="00781F4C">
        <w:rPr>
          <w:rFonts w:eastAsia="Calibri"/>
          <w:sz w:val="20"/>
          <w:szCs w:val="20"/>
          <w:lang w:val="en-US"/>
        </w:rPr>
        <w:t>The n</w:t>
      </w:r>
      <w:r w:rsidR="0046319E" w:rsidRPr="00781F4C">
        <w:rPr>
          <w:rFonts w:eastAsia="Calibri"/>
          <w:sz w:val="20"/>
          <w:szCs w:val="20"/>
          <w:lang w:val="en-US"/>
        </w:rPr>
        <w:t xml:space="preserve">ull hypothesis in this test is the existence of cross-sectional independence. As shown in Table 4, the results of the </w:t>
      </w:r>
      <w:r w:rsidR="00105F0D" w:rsidRPr="00781F4C">
        <w:rPr>
          <w:rFonts w:eastAsia="Calibri"/>
          <w:sz w:val="20"/>
          <w:szCs w:val="20"/>
          <w:lang w:val="en-US"/>
        </w:rPr>
        <w:t>LM</w:t>
      </w:r>
      <w:r w:rsidR="0046319E" w:rsidRPr="00781F4C">
        <w:rPr>
          <w:rFonts w:eastAsia="Calibri"/>
          <w:sz w:val="20"/>
          <w:szCs w:val="20"/>
          <w:lang w:val="en-US"/>
        </w:rPr>
        <w:t xml:space="preserve"> test reject the null hypothesis, which indicates the existence of cross-sectional dependence in all model variables.</w:t>
      </w:r>
    </w:p>
    <w:p w14:paraId="63F4F58B" w14:textId="77777777" w:rsidR="009758FA" w:rsidRPr="00781F4C" w:rsidRDefault="009758FA" w:rsidP="008E08A5">
      <w:pPr>
        <w:ind w:firstLine="720"/>
        <w:jc w:val="both"/>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517"/>
        <w:gridCol w:w="1806"/>
        <w:gridCol w:w="2340"/>
        <w:gridCol w:w="1916"/>
      </w:tblGrid>
      <w:tr w:rsidR="001A5EA8" w:rsidRPr="00781F4C" w14:paraId="2406C91C" w14:textId="77777777" w:rsidTr="009060B5">
        <w:tc>
          <w:tcPr>
            <w:tcW w:w="9134" w:type="dxa"/>
            <w:gridSpan w:val="5"/>
            <w:vAlign w:val="center"/>
          </w:tcPr>
          <w:p w14:paraId="1AA416AE" w14:textId="7D351BE5" w:rsidR="009758FA" w:rsidRPr="00781F4C" w:rsidRDefault="007368DC" w:rsidP="009758FA">
            <w:pPr>
              <w:rPr>
                <w:i/>
                <w:iCs/>
                <w:sz w:val="20"/>
                <w:szCs w:val="20"/>
                <w:lang w:val="en-GB" w:bidi="fa-IR"/>
              </w:rPr>
            </w:pPr>
            <w:r w:rsidRPr="00781F4C">
              <w:rPr>
                <w:i/>
                <w:iCs/>
                <w:sz w:val="18"/>
                <w:szCs w:val="18"/>
                <w:lang w:val="en-GB"/>
              </w:rPr>
              <w:t>Table 4</w:t>
            </w:r>
            <w:r w:rsidR="009758FA" w:rsidRPr="00781F4C">
              <w:rPr>
                <w:i/>
                <w:iCs/>
                <w:sz w:val="18"/>
                <w:szCs w:val="18"/>
                <w:lang w:val="en-GB"/>
              </w:rPr>
              <w:t>. VIF test and Breusch- Pagan (LM test)</w:t>
            </w:r>
          </w:p>
        </w:tc>
      </w:tr>
      <w:tr w:rsidR="001A5EA8" w:rsidRPr="00781F4C" w14:paraId="380F5528" w14:textId="77777777" w:rsidTr="009060B5">
        <w:trPr>
          <w:trHeight w:val="109"/>
        </w:trPr>
        <w:tc>
          <w:tcPr>
            <w:tcW w:w="1555" w:type="dxa"/>
            <w:vMerge w:val="restart"/>
            <w:tcBorders>
              <w:top w:val="single" w:sz="12" w:space="0" w:color="auto"/>
            </w:tcBorders>
            <w:vAlign w:val="center"/>
          </w:tcPr>
          <w:p w14:paraId="335DFDFB" w14:textId="77777777" w:rsidR="009758FA" w:rsidRPr="00781F4C" w:rsidRDefault="009758FA" w:rsidP="009758FA">
            <w:pPr>
              <w:tabs>
                <w:tab w:val="left" w:pos="3142"/>
              </w:tabs>
              <w:jc w:val="center"/>
              <w:rPr>
                <w:i/>
                <w:iCs/>
                <w:sz w:val="16"/>
                <w:szCs w:val="16"/>
                <w:lang w:val="en-GB"/>
              </w:rPr>
            </w:pPr>
            <w:r w:rsidRPr="00781F4C">
              <w:rPr>
                <w:i/>
                <w:iCs/>
                <w:sz w:val="16"/>
                <w:szCs w:val="16"/>
                <w:lang w:val="en-GB"/>
              </w:rPr>
              <w:t>Variables</w:t>
            </w:r>
          </w:p>
        </w:tc>
        <w:tc>
          <w:tcPr>
            <w:tcW w:w="3323" w:type="dxa"/>
            <w:gridSpan w:val="2"/>
            <w:tcBorders>
              <w:top w:val="single" w:sz="12" w:space="0" w:color="auto"/>
              <w:right w:val="single" w:sz="12" w:space="0" w:color="auto"/>
            </w:tcBorders>
            <w:vAlign w:val="center"/>
          </w:tcPr>
          <w:p w14:paraId="37E5529C" w14:textId="77777777" w:rsidR="009758FA" w:rsidRPr="00781F4C" w:rsidRDefault="009758FA" w:rsidP="009758FA">
            <w:pPr>
              <w:tabs>
                <w:tab w:val="left" w:pos="3142"/>
              </w:tabs>
              <w:jc w:val="center"/>
              <w:rPr>
                <w:i/>
                <w:iCs/>
                <w:sz w:val="16"/>
                <w:szCs w:val="16"/>
                <w:lang w:val="en-GB"/>
              </w:rPr>
            </w:pPr>
            <w:r w:rsidRPr="00781F4C">
              <w:rPr>
                <w:i/>
                <w:iCs/>
                <w:sz w:val="16"/>
                <w:szCs w:val="16"/>
                <w:lang w:val="en-GB"/>
              </w:rPr>
              <w:t>VIF-test</w:t>
            </w:r>
          </w:p>
        </w:tc>
        <w:tc>
          <w:tcPr>
            <w:tcW w:w="4256" w:type="dxa"/>
            <w:gridSpan w:val="2"/>
            <w:tcBorders>
              <w:top w:val="single" w:sz="12" w:space="0" w:color="auto"/>
              <w:left w:val="single" w:sz="12" w:space="0" w:color="auto"/>
            </w:tcBorders>
            <w:vAlign w:val="center"/>
          </w:tcPr>
          <w:p w14:paraId="739F0EFF" w14:textId="77777777" w:rsidR="009758FA" w:rsidRPr="00781F4C" w:rsidRDefault="009758FA" w:rsidP="009758FA">
            <w:pPr>
              <w:tabs>
                <w:tab w:val="left" w:pos="3142"/>
              </w:tabs>
              <w:jc w:val="center"/>
              <w:rPr>
                <w:i/>
                <w:iCs/>
                <w:sz w:val="16"/>
                <w:szCs w:val="16"/>
                <w:lang w:val="en-GB"/>
              </w:rPr>
            </w:pPr>
            <w:r w:rsidRPr="00781F4C">
              <w:rPr>
                <w:i/>
                <w:iCs/>
                <w:sz w:val="16"/>
                <w:szCs w:val="16"/>
                <w:lang w:val="en-GB"/>
              </w:rPr>
              <w:t>Breusch- Pagan (LM test)</w:t>
            </w:r>
          </w:p>
        </w:tc>
      </w:tr>
      <w:tr w:rsidR="001A5EA8" w:rsidRPr="00781F4C" w14:paraId="30857A17" w14:textId="77777777" w:rsidTr="009060B5">
        <w:trPr>
          <w:trHeight w:val="384"/>
        </w:trPr>
        <w:tc>
          <w:tcPr>
            <w:tcW w:w="1555" w:type="dxa"/>
            <w:vMerge/>
            <w:tcBorders>
              <w:bottom w:val="single" w:sz="12" w:space="0" w:color="auto"/>
            </w:tcBorders>
            <w:vAlign w:val="center"/>
          </w:tcPr>
          <w:p w14:paraId="3F42B793" w14:textId="77777777" w:rsidR="009758FA" w:rsidRPr="00781F4C" w:rsidRDefault="009758FA" w:rsidP="009758FA">
            <w:pPr>
              <w:tabs>
                <w:tab w:val="left" w:pos="3142"/>
              </w:tabs>
              <w:jc w:val="center"/>
              <w:rPr>
                <w:sz w:val="16"/>
                <w:szCs w:val="16"/>
                <w:lang w:val="en-GB"/>
              </w:rPr>
            </w:pPr>
          </w:p>
        </w:tc>
        <w:tc>
          <w:tcPr>
            <w:tcW w:w="1517" w:type="dxa"/>
            <w:tcBorders>
              <w:top w:val="single" w:sz="12" w:space="0" w:color="auto"/>
              <w:bottom w:val="single" w:sz="12" w:space="0" w:color="auto"/>
              <w:right w:val="dashed" w:sz="12" w:space="0" w:color="auto"/>
            </w:tcBorders>
            <w:vAlign w:val="center"/>
          </w:tcPr>
          <w:p w14:paraId="7D894649" w14:textId="77777777" w:rsidR="009758FA" w:rsidRPr="00781F4C" w:rsidRDefault="009758FA" w:rsidP="009758FA">
            <w:pPr>
              <w:tabs>
                <w:tab w:val="left" w:pos="3142"/>
              </w:tabs>
              <w:jc w:val="center"/>
              <w:rPr>
                <w:i/>
                <w:iCs/>
                <w:sz w:val="16"/>
                <w:szCs w:val="16"/>
                <w:lang w:val="en-GB"/>
              </w:rPr>
            </w:pPr>
            <w:r w:rsidRPr="00781F4C">
              <w:rPr>
                <w:i/>
                <w:iCs/>
                <w:sz w:val="16"/>
                <w:szCs w:val="16"/>
                <w:lang w:val="en-GB"/>
              </w:rPr>
              <w:t>VIF</w:t>
            </w:r>
          </w:p>
        </w:tc>
        <w:tc>
          <w:tcPr>
            <w:tcW w:w="1806" w:type="dxa"/>
            <w:tcBorders>
              <w:top w:val="single" w:sz="12" w:space="0" w:color="auto"/>
              <w:left w:val="dashed" w:sz="12" w:space="0" w:color="auto"/>
              <w:bottom w:val="single" w:sz="12" w:space="0" w:color="auto"/>
              <w:right w:val="single" w:sz="12" w:space="0" w:color="auto"/>
            </w:tcBorders>
            <w:vAlign w:val="center"/>
          </w:tcPr>
          <w:p w14:paraId="165A4E17" w14:textId="77777777" w:rsidR="009758FA" w:rsidRPr="00781F4C" w:rsidRDefault="009758FA" w:rsidP="009758FA">
            <w:pPr>
              <w:tabs>
                <w:tab w:val="left" w:pos="3142"/>
              </w:tabs>
              <w:jc w:val="center"/>
              <w:rPr>
                <w:i/>
                <w:iCs/>
                <w:sz w:val="16"/>
                <w:szCs w:val="16"/>
                <w:lang w:val="en-GB"/>
              </w:rPr>
            </w:pPr>
            <w:r w:rsidRPr="00781F4C">
              <w:rPr>
                <w:i/>
                <w:iCs/>
                <w:sz w:val="16"/>
                <w:szCs w:val="16"/>
                <w:lang w:val="en-GB"/>
              </w:rPr>
              <w:t>Mean VIF</w:t>
            </w:r>
          </w:p>
        </w:tc>
        <w:tc>
          <w:tcPr>
            <w:tcW w:w="2340" w:type="dxa"/>
            <w:tcBorders>
              <w:top w:val="single" w:sz="12" w:space="0" w:color="auto"/>
              <w:left w:val="single" w:sz="12" w:space="0" w:color="auto"/>
              <w:bottom w:val="single" w:sz="12" w:space="0" w:color="auto"/>
            </w:tcBorders>
            <w:vAlign w:val="center"/>
          </w:tcPr>
          <w:p w14:paraId="21728DAB" w14:textId="77777777" w:rsidR="009758FA" w:rsidRPr="00781F4C" w:rsidRDefault="009758FA" w:rsidP="009758FA">
            <w:pPr>
              <w:tabs>
                <w:tab w:val="left" w:pos="3142"/>
              </w:tabs>
              <w:jc w:val="center"/>
              <w:rPr>
                <w:i/>
                <w:iCs/>
                <w:sz w:val="16"/>
                <w:szCs w:val="16"/>
                <w:lang w:val="en-GB"/>
              </w:rPr>
            </w:pPr>
            <w:r w:rsidRPr="00781F4C">
              <w:rPr>
                <w:i/>
                <w:iCs/>
                <w:sz w:val="16"/>
                <w:szCs w:val="16"/>
                <w:lang w:val="en-GB"/>
              </w:rPr>
              <w:t>t-statistic</w:t>
            </w:r>
          </w:p>
        </w:tc>
        <w:tc>
          <w:tcPr>
            <w:tcW w:w="1916" w:type="dxa"/>
            <w:tcBorders>
              <w:top w:val="single" w:sz="12" w:space="0" w:color="auto"/>
              <w:bottom w:val="single" w:sz="12" w:space="0" w:color="auto"/>
            </w:tcBorders>
            <w:vAlign w:val="center"/>
          </w:tcPr>
          <w:p w14:paraId="42B18D45" w14:textId="77777777" w:rsidR="009758FA" w:rsidRPr="00781F4C" w:rsidRDefault="009758FA" w:rsidP="009758FA">
            <w:pPr>
              <w:tabs>
                <w:tab w:val="left" w:pos="3142"/>
              </w:tabs>
              <w:jc w:val="center"/>
              <w:rPr>
                <w:i/>
                <w:iCs/>
                <w:sz w:val="16"/>
                <w:szCs w:val="16"/>
                <w:lang w:val="en-GB"/>
              </w:rPr>
            </w:pPr>
            <w:r w:rsidRPr="00781F4C">
              <w:rPr>
                <w:i/>
                <w:iCs/>
                <w:sz w:val="16"/>
                <w:szCs w:val="16"/>
                <w:lang w:val="en-GB"/>
              </w:rPr>
              <w:t>Prob.</w:t>
            </w:r>
          </w:p>
        </w:tc>
      </w:tr>
      <w:tr w:rsidR="001A5EA8" w:rsidRPr="00781F4C" w14:paraId="0DF3E137" w14:textId="77777777" w:rsidTr="009060B5">
        <w:tc>
          <w:tcPr>
            <w:tcW w:w="1555" w:type="dxa"/>
            <w:tcBorders>
              <w:top w:val="single" w:sz="12" w:space="0" w:color="auto"/>
            </w:tcBorders>
            <w:vAlign w:val="center"/>
          </w:tcPr>
          <w:p w14:paraId="0BA99F06" w14:textId="5654C0EB" w:rsidR="009758FA" w:rsidRPr="00781F4C" w:rsidRDefault="00774283" w:rsidP="009758FA">
            <w:pPr>
              <w:jc w:val="center"/>
              <w:rPr>
                <w:sz w:val="16"/>
                <w:szCs w:val="16"/>
                <w:lang w:val="en-GB"/>
              </w:rPr>
            </w:pPr>
            <w:r w:rsidRPr="00781F4C">
              <w:rPr>
                <w:sz w:val="16"/>
                <w:szCs w:val="16"/>
                <w:lang w:val="en-US"/>
              </w:rPr>
              <w:t>E</w:t>
            </w:r>
            <w:r w:rsidR="009758FA" w:rsidRPr="00781F4C">
              <w:rPr>
                <w:sz w:val="16"/>
                <w:szCs w:val="16"/>
                <w:lang w:val="en-US"/>
              </w:rPr>
              <w:t>FP</w:t>
            </w:r>
          </w:p>
        </w:tc>
        <w:tc>
          <w:tcPr>
            <w:tcW w:w="1517" w:type="dxa"/>
            <w:tcBorders>
              <w:top w:val="single" w:sz="12" w:space="0" w:color="auto"/>
              <w:right w:val="dashed" w:sz="12" w:space="0" w:color="auto"/>
            </w:tcBorders>
            <w:shd w:val="clear" w:color="auto" w:fill="auto"/>
            <w:vAlign w:val="center"/>
          </w:tcPr>
          <w:p w14:paraId="0546546B" w14:textId="77777777" w:rsidR="009758FA" w:rsidRPr="00781F4C" w:rsidRDefault="009758FA" w:rsidP="009758FA">
            <w:pPr>
              <w:jc w:val="center"/>
              <w:rPr>
                <w:sz w:val="16"/>
                <w:szCs w:val="16"/>
                <w:lang w:val="en-GB"/>
              </w:rPr>
            </w:pPr>
            <w:proofErr w:type="spellStart"/>
            <w:r w:rsidRPr="00781F4C">
              <w:rPr>
                <w:sz w:val="16"/>
                <w:szCs w:val="16"/>
                <w:lang w:val="en-GB"/>
              </w:rPr>
              <w:t>n.a.</w:t>
            </w:r>
            <w:proofErr w:type="spellEnd"/>
          </w:p>
        </w:tc>
        <w:tc>
          <w:tcPr>
            <w:tcW w:w="1806" w:type="dxa"/>
            <w:vMerge w:val="restart"/>
            <w:tcBorders>
              <w:top w:val="single" w:sz="12" w:space="0" w:color="auto"/>
              <w:left w:val="dashed" w:sz="12" w:space="0" w:color="auto"/>
              <w:bottom w:val="single" w:sz="12" w:space="0" w:color="auto"/>
              <w:right w:val="single" w:sz="12" w:space="0" w:color="auto"/>
            </w:tcBorders>
            <w:vAlign w:val="center"/>
          </w:tcPr>
          <w:p w14:paraId="762138ED" w14:textId="09C02FF2" w:rsidR="009758FA" w:rsidRPr="00781F4C" w:rsidRDefault="009758FA" w:rsidP="009758FA">
            <w:pPr>
              <w:tabs>
                <w:tab w:val="left" w:pos="3142"/>
              </w:tabs>
              <w:jc w:val="center"/>
              <w:rPr>
                <w:sz w:val="16"/>
                <w:szCs w:val="16"/>
                <w:lang w:val="en-GB"/>
              </w:rPr>
            </w:pPr>
            <w:r w:rsidRPr="00781F4C">
              <w:rPr>
                <w:sz w:val="16"/>
                <w:szCs w:val="16"/>
                <w:lang w:val="en-GB"/>
              </w:rPr>
              <w:t>1.65</w:t>
            </w:r>
          </w:p>
        </w:tc>
        <w:tc>
          <w:tcPr>
            <w:tcW w:w="2340" w:type="dxa"/>
            <w:tcBorders>
              <w:top w:val="single" w:sz="12" w:space="0" w:color="auto"/>
              <w:left w:val="single" w:sz="12" w:space="0" w:color="auto"/>
            </w:tcBorders>
            <w:vAlign w:val="center"/>
          </w:tcPr>
          <w:p w14:paraId="7391D4CE" w14:textId="5B298F8F" w:rsidR="009758FA" w:rsidRPr="00781F4C" w:rsidRDefault="009758FA" w:rsidP="009758FA">
            <w:pPr>
              <w:tabs>
                <w:tab w:val="left" w:pos="3142"/>
              </w:tabs>
              <w:jc w:val="center"/>
              <w:rPr>
                <w:sz w:val="16"/>
                <w:szCs w:val="16"/>
                <w:lang w:val="en-GB"/>
              </w:rPr>
            </w:pPr>
            <w:r w:rsidRPr="00781F4C">
              <w:rPr>
                <w:sz w:val="16"/>
                <w:szCs w:val="16"/>
              </w:rPr>
              <w:t>2047.908</w:t>
            </w:r>
          </w:p>
        </w:tc>
        <w:tc>
          <w:tcPr>
            <w:tcW w:w="1916" w:type="dxa"/>
            <w:tcBorders>
              <w:top w:val="single" w:sz="12" w:space="0" w:color="auto"/>
            </w:tcBorders>
            <w:vAlign w:val="center"/>
          </w:tcPr>
          <w:p w14:paraId="3C9DD4A7" w14:textId="77777777" w:rsidR="009758FA" w:rsidRPr="00781F4C" w:rsidRDefault="009758FA" w:rsidP="009758FA">
            <w:pPr>
              <w:tabs>
                <w:tab w:val="left" w:pos="3142"/>
              </w:tabs>
              <w:jc w:val="center"/>
              <w:rPr>
                <w:sz w:val="16"/>
                <w:szCs w:val="16"/>
                <w:lang w:val="en-GB"/>
              </w:rPr>
            </w:pPr>
            <w:r w:rsidRPr="00781F4C">
              <w:rPr>
                <w:sz w:val="16"/>
                <w:szCs w:val="16"/>
              </w:rPr>
              <w:t>0.0000</w:t>
            </w:r>
          </w:p>
        </w:tc>
      </w:tr>
      <w:tr w:rsidR="001A5EA8" w:rsidRPr="00781F4C" w14:paraId="5A46F225" w14:textId="77777777" w:rsidTr="009060B5">
        <w:tc>
          <w:tcPr>
            <w:tcW w:w="1555" w:type="dxa"/>
            <w:vAlign w:val="center"/>
          </w:tcPr>
          <w:p w14:paraId="6013A696" w14:textId="0C79C9CC" w:rsidR="009758FA" w:rsidRPr="00781F4C" w:rsidRDefault="00774283" w:rsidP="009758FA">
            <w:pPr>
              <w:jc w:val="center"/>
              <w:rPr>
                <w:sz w:val="16"/>
                <w:szCs w:val="16"/>
                <w:lang w:val="en-US" w:bidi="fa-IR"/>
              </w:rPr>
            </w:pPr>
            <w:r w:rsidRPr="00781F4C">
              <w:rPr>
                <w:sz w:val="16"/>
                <w:szCs w:val="16"/>
                <w:lang w:val="en-US" w:bidi="fa-IR"/>
              </w:rPr>
              <w:t>E</w:t>
            </w:r>
            <w:r w:rsidR="009758FA" w:rsidRPr="00781F4C">
              <w:rPr>
                <w:sz w:val="16"/>
                <w:szCs w:val="16"/>
                <w:lang w:val="en-US" w:bidi="fa-IR"/>
              </w:rPr>
              <w:t>Q</w:t>
            </w:r>
          </w:p>
        </w:tc>
        <w:tc>
          <w:tcPr>
            <w:tcW w:w="1517" w:type="dxa"/>
            <w:tcBorders>
              <w:right w:val="dashed" w:sz="12" w:space="0" w:color="auto"/>
            </w:tcBorders>
            <w:shd w:val="clear" w:color="auto" w:fill="auto"/>
            <w:vAlign w:val="center"/>
          </w:tcPr>
          <w:p w14:paraId="6CEABDC1" w14:textId="4068121F" w:rsidR="009758FA" w:rsidRPr="00781F4C" w:rsidRDefault="009758FA" w:rsidP="009758FA">
            <w:pPr>
              <w:jc w:val="center"/>
              <w:rPr>
                <w:sz w:val="16"/>
                <w:szCs w:val="16"/>
                <w:lang w:val="en-GB"/>
              </w:rPr>
            </w:pPr>
            <w:r w:rsidRPr="00781F4C">
              <w:rPr>
                <w:sz w:val="16"/>
                <w:szCs w:val="16"/>
                <w:lang w:val="en-GB"/>
              </w:rPr>
              <w:t>1.37</w:t>
            </w:r>
          </w:p>
        </w:tc>
        <w:tc>
          <w:tcPr>
            <w:tcW w:w="1806" w:type="dxa"/>
            <w:vMerge/>
            <w:tcBorders>
              <w:left w:val="dashed" w:sz="12" w:space="0" w:color="auto"/>
              <w:bottom w:val="single" w:sz="12" w:space="0" w:color="auto"/>
              <w:right w:val="single" w:sz="12" w:space="0" w:color="auto"/>
            </w:tcBorders>
            <w:vAlign w:val="center"/>
          </w:tcPr>
          <w:p w14:paraId="047E7939" w14:textId="77777777" w:rsidR="009758FA" w:rsidRPr="00781F4C" w:rsidRDefault="009758FA" w:rsidP="009758FA">
            <w:pPr>
              <w:tabs>
                <w:tab w:val="left" w:pos="3142"/>
              </w:tabs>
              <w:rPr>
                <w:sz w:val="16"/>
                <w:szCs w:val="16"/>
                <w:lang w:val="en-GB"/>
              </w:rPr>
            </w:pPr>
          </w:p>
        </w:tc>
        <w:tc>
          <w:tcPr>
            <w:tcW w:w="2340" w:type="dxa"/>
            <w:tcBorders>
              <w:left w:val="single" w:sz="12" w:space="0" w:color="auto"/>
            </w:tcBorders>
            <w:vAlign w:val="center"/>
          </w:tcPr>
          <w:p w14:paraId="02FD2699" w14:textId="77777777" w:rsidR="009758FA" w:rsidRPr="00781F4C" w:rsidRDefault="009758FA" w:rsidP="009758FA">
            <w:pPr>
              <w:tabs>
                <w:tab w:val="left" w:pos="3142"/>
              </w:tabs>
              <w:jc w:val="center"/>
              <w:rPr>
                <w:sz w:val="16"/>
                <w:szCs w:val="16"/>
                <w:lang w:val="en-GB"/>
              </w:rPr>
            </w:pPr>
          </w:p>
        </w:tc>
        <w:tc>
          <w:tcPr>
            <w:tcW w:w="1916" w:type="dxa"/>
            <w:vAlign w:val="center"/>
          </w:tcPr>
          <w:p w14:paraId="44BE7979" w14:textId="77777777" w:rsidR="009758FA" w:rsidRPr="00781F4C" w:rsidRDefault="009758FA" w:rsidP="009758FA">
            <w:pPr>
              <w:tabs>
                <w:tab w:val="left" w:pos="3142"/>
              </w:tabs>
              <w:jc w:val="center"/>
              <w:rPr>
                <w:sz w:val="16"/>
                <w:szCs w:val="16"/>
                <w:lang w:val="en-GB"/>
              </w:rPr>
            </w:pPr>
          </w:p>
        </w:tc>
      </w:tr>
      <w:tr w:rsidR="001A5EA8" w:rsidRPr="00781F4C" w14:paraId="39591586" w14:textId="77777777" w:rsidTr="009060B5">
        <w:tc>
          <w:tcPr>
            <w:tcW w:w="1555" w:type="dxa"/>
            <w:vAlign w:val="center"/>
          </w:tcPr>
          <w:p w14:paraId="6EC46874" w14:textId="27A658DA" w:rsidR="009758FA" w:rsidRPr="00781F4C" w:rsidRDefault="00774283" w:rsidP="009758FA">
            <w:pPr>
              <w:jc w:val="center"/>
              <w:rPr>
                <w:sz w:val="16"/>
                <w:szCs w:val="16"/>
                <w:lang w:val="en-GB" w:bidi="fa-IR"/>
              </w:rPr>
            </w:pPr>
            <w:r w:rsidRPr="00781F4C">
              <w:rPr>
                <w:sz w:val="16"/>
                <w:szCs w:val="16"/>
                <w:lang w:val="en-GB" w:bidi="fa-IR"/>
              </w:rPr>
              <w:t>TO</w:t>
            </w:r>
          </w:p>
        </w:tc>
        <w:tc>
          <w:tcPr>
            <w:tcW w:w="1517" w:type="dxa"/>
            <w:tcBorders>
              <w:right w:val="dashed" w:sz="12" w:space="0" w:color="auto"/>
            </w:tcBorders>
            <w:shd w:val="clear" w:color="auto" w:fill="auto"/>
            <w:vAlign w:val="center"/>
          </w:tcPr>
          <w:p w14:paraId="7FE8235F" w14:textId="7E821E3C" w:rsidR="009758FA" w:rsidRPr="00781F4C" w:rsidRDefault="009758FA" w:rsidP="009758FA">
            <w:pPr>
              <w:jc w:val="center"/>
              <w:rPr>
                <w:sz w:val="16"/>
                <w:szCs w:val="16"/>
                <w:lang w:val="en-GB"/>
              </w:rPr>
            </w:pPr>
            <w:r w:rsidRPr="00781F4C">
              <w:rPr>
                <w:sz w:val="16"/>
                <w:szCs w:val="16"/>
                <w:lang w:val="en-GB"/>
              </w:rPr>
              <w:t>1.60</w:t>
            </w:r>
          </w:p>
        </w:tc>
        <w:tc>
          <w:tcPr>
            <w:tcW w:w="1806" w:type="dxa"/>
            <w:vMerge/>
            <w:tcBorders>
              <w:left w:val="dashed" w:sz="12" w:space="0" w:color="auto"/>
              <w:bottom w:val="single" w:sz="12" w:space="0" w:color="auto"/>
              <w:right w:val="single" w:sz="12" w:space="0" w:color="auto"/>
            </w:tcBorders>
            <w:vAlign w:val="center"/>
          </w:tcPr>
          <w:p w14:paraId="07A1EFD2" w14:textId="77777777" w:rsidR="009758FA" w:rsidRPr="00781F4C" w:rsidRDefault="009758FA" w:rsidP="009758FA">
            <w:pPr>
              <w:tabs>
                <w:tab w:val="left" w:pos="3142"/>
              </w:tabs>
              <w:rPr>
                <w:sz w:val="16"/>
                <w:szCs w:val="16"/>
                <w:lang w:val="en-GB"/>
              </w:rPr>
            </w:pPr>
          </w:p>
        </w:tc>
        <w:tc>
          <w:tcPr>
            <w:tcW w:w="2340" w:type="dxa"/>
            <w:tcBorders>
              <w:left w:val="single" w:sz="12" w:space="0" w:color="auto"/>
            </w:tcBorders>
            <w:vAlign w:val="center"/>
          </w:tcPr>
          <w:p w14:paraId="6A7A0BF3" w14:textId="77777777" w:rsidR="009758FA" w:rsidRPr="00781F4C" w:rsidRDefault="009758FA" w:rsidP="009758FA">
            <w:pPr>
              <w:tabs>
                <w:tab w:val="left" w:pos="3142"/>
              </w:tabs>
              <w:jc w:val="center"/>
              <w:rPr>
                <w:sz w:val="16"/>
                <w:szCs w:val="16"/>
                <w:lang w:val="en-GB"/>
              </w:rPr>
            </w:pPr>
          </w:p>
        </w:tc>
        <w:tc>
          <w:tcPr>
            <w:tcW w:w="1916" w:type="dxa"/>
            <w:vAlign w:val="center"/>
          </w:tcPr>
          <w:p w14:paraId="6729601D" w14:textId="77777777" w:rsidR="009758FA" w:rsidRPr="00781F4C" w:rsidRDefault="009758FA" w:rsidP="009758FA">
            <w:pPr>
              <w:tabs>
                <w:tab w:val="left" w:pos="3142"/>
              </w:tabs>
              <w:jc w:val="center"/>
              <w:rPr>
                <w:sz w:val="16"/>
                <w:szCs w:val="16"/>
                <w:lang w:val="en-GB"/>
              </w:rPr>
            </w:pPr>
          </w:p>
        </w:tc>
      </w:tr>
      <w:tr w:rsidR="001A5EA8" w:rsidRPr="00781F4C" w14:paraId="61BB5A1B" w14:textId="77777777" w:rsidTr="009060B5">
        <w:tc>
          <w:tcPr>
            <w:tcW w:w="1555" w:type="dxa"/>
            <w:vAlign w:val="center"/>
          </w:tcPr>
          <w:p w14:paraId="299B791E" w14:textId="4624EF26" w:rsidR="009758FA" w:rsidRPr="00781F4C" w:rsidRDefault="009758FA" w:rsidP="009758FA">
            <w:pPr>
              <w:jc w:val="center"/>
              <w:rPr>
                <w:sz w:val="16"/>
                <w:szCs w:val="16"/>
                <w:lang w:val="en-GB" w:bidi="fa-IR"/>
              </w:rPr>
            </w:pPr>
            <w:r w:rsidRPr="00781F4C">
              <w:rPr>
                <w:sz w:val="16"/>
                <w:szCs w:val="16"/>
                <w:lang w:val="en-GB" w:bidi="fa-IR"/>
              </w:rPr>
              <w:t>UR</w:t>
            </w:r>
          </w:p>
        </w:tc>
        <w:tc>
          <w:tcPr>
            <w:tcW w:w="1517" w:type="dxa"/>
            <w:tcBorders>
              <w:right w:val="dashed" w:sz="12" w:space="0" w:color="auto"/>
            </w:tcBorders>
            <w:shd w:val="clear" w:color="auto" w:fill="auto"/>
            <w:vAlign w:val="center"/>
          </w:tcPr>
          <w:p w14:paraId="4C8239A8" w14:textId="11B760E9" w:rsidR="009758FA" w:rsidRPr="00781F4C" w:rsidRDefault="009758FA" w:rsidP="009758FA">
            <w:pPr>
              <w:jc w:val="center"/>
              <w:rPr>
                <w:sz w:val="16"/>
                <w:szCs w:val="16"/>
                <w:lang w:val="en-GB"/>
              </w:rPr>
            </w:pPr>
            <w:r w:rsidRPr="00781F4C">
              <w:rPr>
                <w:sz w:val="16"/>
                <w:szCs w:val="16"/>
                <w:lang w:val="en-GB"/>
              </w:rPr>
              <w:t>2.01</w:t>
            </w:r>
          </w:p>
        </w:tc>
        <w:tc>
          <w:tcPr>
            <w:tcW w:w="1806" w:type="dxa"/>
            <w:vMerge/>
            <w:tcBorders>
              <w:left w:val="dashed" w:sz="12" w:space="0" w:color="auto"/>
              <w:bottom w:val="single" w:sz="12" w:space="0" w:color="auto"/>
              <w:right w:val="single" w:sz="12" w:space="0" w:color="auto"/>
            </w:tcBorders>
            <w:vAlign w:val="center"/>
          </w:tcPr>
          <w:p w14:paraId="3AEABFFE" w14:textId="77777777" w:rsidR="009758FA" w:rsidRPr="00781F4C" w:rsidRDefault="009758FA" w:rsidP="009758FA">
            <w:pPr>
              <w:tabs>
                <w:tab w:val="left" w:pos="3142"/>
              </w:tabs>
              <w:rPr>
                <w:sz w:val="16"/>
                <w:szCs w:val="16"/>
                <w:lang w:val="en-GB"/>
              </w:rPr>
            </w:pPr>
          </w:p>
        </w:tc>
        <w:tc>
          <w:tcPr>
            <w:tcW w:w="2340" w:type="dxa"/>
            <w:tcBorders>
              <w:left w:val="single" w:sz="12" w:space="0" w:color="auto"/>
            </w:tcBorders>
            <w:vAlign w:val="center"/>
          </w:tcPr>
          <w:p w14:paraId="5AD44492" w14:textId="77777777" w:rsidR="009758FA" w:rsidRPr="00781F4C" w:rsidRDefault="009758FA" w:rsidP="009758FA">
            <w:pPr>
              <w:tabs>
                <w:tab w:val="left" w:pos="3142"/>
              </w:tabs>
              <w:jc w:val="center"/>
              <w:rPr>
                <w:sz w:val="16"/>
                <w:szCs w:val="16"/>
                <w:lang w:val="en-GB"/>
              </w:rPr>
            </w:pPr>
          </w:p>
        </w:tc>
        <w:tc>
          <w:tcPr>
            <w:tcW w:w="1916" w:type="dxa"/>
            <w:vAlign w:val="center"/>
          </w:tcPr>
          <w:p w14:paraId="1C5771F4" w14:textId="77777777" w:rsidR="009758FA" w:rsidRPr="00781F4C" w:rsidRDefault="009758FA" w:rsidP="009758FA">
            <w:pPr>
              <w:tabs>
                <w:tab w:val="left" w:pos="3142"/>
              </w:tabs>
              <w:jc w:val="center"/>
              <w:rPr>
                <w:sz w:val="16"/>
                <w:szCs w:val="16"/>
                <w:lang w:val="en-GB"/>
              </w:rPr>
            </w:pPr>
          </w:p>
        </w:tc>
      </w:tr>
      <w:tr w:rsidR="001A5EA8" w:rsidRPr="00781F4C" w14:paraId="2AA2B6EA" w14:textId="77777777" w:rsidTr="009060B5">
        <w:tc>
          <w:tcPr>
            <w:tcW w:w="1555" w:type="dxa"/>
            <w:vAlign w:val="center"/>
          </w:tcPr>
          <w:p w14:paraId="6B7CAE0D" w14:textId="0DBF6060" w:rsidR="009758FA" w:rsidRPr="00781F4C" w:rsidRDefault="009758FA" w:rsidP="009758FA">
            <w:pPr>
              <w:jc w:val="center"/>
              <w:rPr>
                <w:sz w:val="16"/>
                <w:szCs w:val="16"/>
                <w:lang w:val="en-GB" w:bidi="fa-IR"/>
              </w:rPr>
            </w:pPr>
            <w:r w:rsidRPr="00781F4C">
              <w:rPr>
                <w:sz w:val="16"/>
                <w:szCs w:val="16"/>
                <w:lang w:val="en-GB" w:bidi="fa-IR"/>
              </w:rPr>
              <w:lastRenderedPageBreak/>
              <w:t>GDP</w:t>
            </w:r>
          </w:p>
        </w:tc>
        <w:tc>
          <w:tcPr>
            <w:tcW w:w="1517" w:type="dxa"/>
            <w:tcBorders>
              <w:right w:val="dashed" w:sz="12" w:space="0" w:color="auto"/>
            </w:tcBorders>
            <w:shd w:val="clear" w:color="auto" w:fill="auto"/>
            <w:vAlign w:val="center"/>
          </w:tcPr>
          <w:p w14:paraId="292E064F" w14:textId="7B16159D" w:rsidR="009758FA" w:rsidRPr="00781F4C" w:rsidRDefault="009758FA" w:rsidP="009758FA">
            <w:pPr>
              <w:jc w:val="center"/>
              <w:rPr>
                <w:sz w:val="16"/>
                <w:szCs w:val="16"/>
                <w:lang w:val="en-GB"/>
              </w:rPr>
            </w:pPr>
            <w:r w:rsidRPr="00781F4C">
              <w:rPr>
                <w:sz w:val="16"/>
                <w:szCs w:val="16"/>
                <w:lang w:val="en-GB"/>
              </w:rPr>
              <w:t>1.94</w:t>
            </w:r>
          </w:p>
        </w:tc>
        <w:tc>
          <w:tcPr>
            <w:tcW w:w="1806" w:type="dxa"/>
            <w:vMerge/>
            <w:tcBorders>
              <w:left w:val="dashed" w:sz="12" w:space="0" w:color="auto"/>
              <w:bottom w:val="single" w:sz="12" w:space="0" w:color="auto"/>
              <w:right w:val="single" w:sz="12" w:space="0" w:color="auto"/>
            </w:tcBorders>
            <w:vAlign w:val="center"/>
          </w:tcPr>
          <w:p w14:paraId="65B4D997" w14:textId="77777777" w:rsidR="009758FA" w:rsidRPr="00781F4C" w:rsidRDefault="009758FA" w:rsidP="009758FA">
            <w:pPr>
              <w:tabs>
                <w:tab w:val="left" w:pos="3142"/>
              </w:tabs>
              <w:rPr>
                <w:sz w:val="16"/>
                <w:szCs w:val="16"/>
                <w:lang w:val="en-GB"/>
              </w:rPr>
            </w:pPr>
          </w:p>
        </w:tc>
        <w:tc>
          <w:tcPr>
            <w:tcW w:w="2340" w:type="dxa"/>
            <w:tcBorders>
              <w:left w:val="single" w:sz="12" w:space="0" w:color="auto"/>
            </w:tcBorders>
            <w:vAlign w:val="center"/>
          </w:tcPr>
          <w:p w14:paraId="660C6E57" w14:textId="77777777" w:rsidR="009758FA" w:rsidRPr="00781F4C" w:rsidRDefault="009758FA" w:rsidP="009758FA">
            <w:pPr>
              <w:tabs>
                <w:tab w:val="left" w:pos="3142"/>
              </w:tabs>
              <w:jc w:val="center"/>
              <w:rPr>
                <w:sz w:val="16"/>
                <w:szCs w:val="16"/>
                <w:lang w:val="en-GB"/>
              </w:rPr>
            </w:pPr>
          </w:p>
        </w:tc>
        <w:tc>
          <w:tcPr>
            <w:tcW w:w="1916" w:type="dxa"/>
            <w:vAlign w:val="center"/>
          </w:tcPr>
          <w:p w14:paraId="05F1DC72" w14:textId="77777777" w:rsidR="009758FA" w:rsidRPr="00781F4C" w:rsidRDefault="009758FA" w:rsidP="009758FA">
            <w:pPr>
              <w:tabs>
                <w:tab w:val="left" w:pos="3142"/>
              </w:tabs>
              <w:jc w:val="center"/>
              <w:rPr>
                <w:sz w:val="16"/>
                <w:szCs w:val="16"/>
                <w:lang w:val="en-GB"/>
              </w:rPr>
            </w:pPr>
          </w:p>
        </w:tc>
      </w:tr>
      <w:tr w:rsidR="001A5EA8" w:rsidRPr="00781F4C" w14:paraId="0ABB831A" w14:textId="77777777" w:rsidTr="009060B5">
        <w:tc>
          <w:tcPr>
            <w:tcW w:w="1555" w:type="dxa"/>
            <w:tcBorders>
              <w:bottom w:val="single" w:sz="12" w:space="0" w:color="auto"/>
            </w:tcBorders>
            <w:vAlign w:val="center"/>
          </w:tcPr>
          <w:p w14:paraId="4E7EF56E" w14:textId="33AB5A45" w:rsidR="009758FA" w:rsidRPr="00781F4C" w:rsidRDefault="009758FA" w:rsidP="009758FA">
            <w:pPr>
              <w:jc w:val="center"/>
              <w:rPr>
                <w:sz w:val="16"/>
                <w:szCs w:val="16"/>
                <w:lang w:val="en-GB" w:bidi="fa-IR"/>
              </w:rPr>
            </w:pPr>
            <w:r w:rsidRPr="00781F4C">
              <w:rPr>
                <w:sz w:val="16"/>
                <w:szCs w:val="16"/>
                <w:lang w:val="en-GB" w:bidi="fa-IR"/>
              </w:rPr>
              <w:t>F</w:t>
            </w:r>
            <w:r w:rsidR="00774283" w:rsidRPr="00781F4C">
              <w:rPr>
                <w:sz w:val="16"/>
                <w:szCs w:val="16"/>
                <w:lang w:val="en-GB" w:bidi="fa-IR"/>
              </w:rPr>
              <w:t>R</w:t>
            </w:r>
          </w:p>
        </w:tc>
        <w:tc>
          <w:tcPr>
            <w:tcW w:w="1517" w:type="dxa"/>
            <w:tcBorders>
              <w:bottom w:val="single" w:sz="12" w:space="0" w:color="auto"/>
              <w:right w:val="dashed" w:sz="12" w:space="0" w:color="auto"/>
            </w:tcBorders>
            <w:shd w:val="clear" w:color="auto" w:fill="auto"/>
            <w:vAlign w:val="center"/>
          </w:tcPr>
          <w:p w14:paraId="779A5200" w14:textId="0AE05FCE" w:rsidR="009758FA" w:rsidRPr="00781F4C" w:rsidRDefault="009758FA" w:rsidP="009758FA">
            <w:pPr>
              <w:jc w:val="center"/>
              <w:rPr>
                <w:sz w:val="16"/>
                <w:szCs w:val="16"/>
                <w:lang w:val="en-GB"/>
              </w:rPr>
            </w:pPr>
            <w:r w:rsidRPr="00781F4C">
              <w:rPr>
                <w:sz w:val="16"/>
                <w:szCs w:val="16"/>
                <w:lang w:val="en-GB"/>
              </w:rPr>
              <w:t>1.33</w:t>
            </w:r>
          </w:p>
        </w:tc>
        <w:tc>
          <w:tcPr>
            <w:tcW w:w="1806" w:type="dxa"/>
            <w:vMerge/>
            <w:tcBorders>
              <w:left w:val="dashed" w:sz="12" w:space="0" w:color="auto"/>
              <w:bottom w:val="single" w:sz="12" w:space="0" w:color="auto"/>
              <w:right w:val="single" w:sz="12" w:space="0" w:color="auto"/>
            </w:tcBorders>
            <w:vAlign w:val="center"/>
          </w:tcPr>
          <w:p w14:paraId="7648D06B" w14:textId="77777777" w:rsidR="009758FA" w:rsidRPr="00781F4C" w:rsidRDefault="009758FA" w:rsidP="009758FA">
            <w:pPr>
              <w:tabs>
                <w:tab w:val="left" w:pos="3142"/>
              </w:tabs>
              <w:rPr>
                <w:sz w:val="16"/>
                <w:szCs w:val="16"/>
                <w:lang w:val="en-GB"/>
              </w:rPr>
            </w:pPr>
          </w:p>
        </w:tc>
        <w:tc>
          <w:tcPr>
            <w:tcW w:w="2340" w:type="dxa"/>
            <w:tcBorders>
              <w:left w:val="single" w:sz="12" w:space="0" w:color="auto"/>
              <w:bottom w:val="single" w:sz="12" w:space="0" w:color="auto"/>
            </w:tcBorders>
            <w:vAlign w:val="center"/>
          </w:tcPr>
          <w:p w14:paraId="627093FA" w14:textId="77777777" w:rsidR="009758FA" w:rsidRPr="00781F4C" w:rsidRDefault="009758FA" w:rsidP="009758FA">
            <w:pPr>
              <w:tabs>
                <w:tab w:val="left" w:pos="3142"/>
              </w:tabs>
              <w:jc w:val="center"/>
              <w:rPr>
                <w:sz w:val="16"/>
                <w:szCs w:val="16"/>
                <w:lang w:val="en-GB"/>
              </w:rPr>
            </w:pPr>
          </w:p>
        </w:tc>
        <w:tc>
          <w:tcPr>
            <w:tcW w:w="1916" w:type="dxa"/>
            <w:tcBorders>
              <w:bottom w:val="single" w:sz="12" w:space="0" w:color="auto"/>
            </w:tcBorders>
            <w:vAlign w:val="center"/>
          </w:tcPr>
          <w:p w14:paraId="13E9C872" w14:textId="77777777" w:rsidR="009758FA" w:rsidRPr="00781F4C" w:rsidRDefault="009758FA" w:rsidP="009758FA">
            <w:pPr>
              <w:tabs>
                <w:tab w:val="left" w:pos="3142"/>
              </w:tabs>
              <w:jc w:val="center"/>
              <w:rPr>
                <w:sz w:val="16"/>
                <w:szCs w:val="16"/>
                <w:lang w:val="en-GB"/>
              </w:rPr>
            </w:pPr>
          </w:p>
        </w:tc>
      </w:tr>
      <w:tr w:rsidR="009758FA" w:rsidRPr="00781F4C" w14:paraId="004B0753" w14:textId="77777777" w:rsidTr="009060B5">
        <w:tc>
          <w:tcPr>
            <w:tcW w:w="9134" w:type="dxa"/>
            <w:gridSpan w:val="5"/>
            <w:vAlign w:val="center"/>
          </w:tcPr>
          <w:p w14:paraId="56A12D13" w14:textId="77777777" w:rsidR="009758FA" w:rsidRPr="00781F4C" w:rsidRDefault="009758FA" w:rsidP="009758FA">
            <w:pPr>
              <w:tabs>
                <w:tab w:val="left" w:pos="3142"/>
              </w:tabs>
              <w:jc w:val="both"/>
              <w:rPr>
                <w:sz w:val="16"/>
                <w:szCs w:val="16"/>
                <w:lang w:val="en-GB"/>
              </w:rPr>
            </w:pPr>
            <w:r w:rsidRPr="00781F4C">
              <w:rPr>
                <w:sz w:val="16"/>
                <w:szCs w:val="16"/>
                <w:lang w:val="en-GB"/>
              </w:rPr>
              <w:t xml:space="preserve">Notes: </w:t>
            </w:r>
            <w:proofErr w:type="spellStart"/>
            <w:r w:rsidRPr="00781F4C">
              <w:rPr>
                <w:sz w:val="16"/>
                <w:szCs w:val="16"/>
                <w:lang w:val="en-GB"/>
              </w:rPr>
              <w:t>n.a.</w:t>
            </w:r>
            <w:proofErr w:type="spellEnd"/>
            <w:r w:rsidRPr="00781F4C">
              <w:rPr>
                <w:sz w:val="16"/>
                <w:szCs w:val="16"/>
                <w:lang w:val="en-GB"/>
              </w:rPr>
              <w:t xml:space="preserve"> denotes not available.</w:t>
            </w:r>
          </w:p>
        </w:tc>
      </w:tr>
    </w:tbl>
    <w:p w14:paraId="477CB4A8" w14:textId="77777777" w:rsidR="009758FA" w:rsidRPr="00781F4C" w:rsidRDefault="009758FA" w:rsidP="008E08A5">
      <w:pPr>
        <w:ind w:firstLine="720"/>
        <w:jc w:val="both"/>
        <w:rPr>
          <w:lang w:val="en-US"/>
        </w:rPr>
      </w:pPr>
    </w:p>
    <w:p w14:paraId="6F725A66" w14:textId="3F97A7A5" w:rsidR="009D639C" w:rsidRPr="00781F4C" w:rsidRDefault="00E162D3" w:rsidP="006D2EBD">
      <w:pPr>
        <w:ind w:firstLine="284"/>
        <w:jc w:val="both"/>
        <w:rPr>
          <w:sz w:val="20"/>
          <w:szCs w:val="20"/>
          <w:lang w:val="en-US"/>
        </w:rPr>
      </w:pPr>
      <w:r w:rsidRPr="00781F4C">
        <w:rPr>
          <w:sz w:val="20"/>
          <w:szCs w:val="20"/>
          <w:lang w:val="en-US"/>
        </w:rPr>
        <w:t>According to the results of the cross-sectional dependence test in the previous section, in this part</w:t>
      </w:r>
      <w:r w:rsidR="00B567E9" w:rsidRPr="00781F4C">
        <w:rPr>
          <w:sz w:val="20"/>
          <w:szCs w:val="20"/>
          <w:lang w:val="en-US"/>
        </w:rPr>
        <w:t>,</w:t>
      </w:r>
      <w:r w:rsidRPr="00781F4C">
        <w:rPr>
          <w:sz w:val="20"/>
          <w:szCs w:val="20"/>
          <w:lang w:val="en-US"/>
        </w:rPr>
        <w:t xml:space="preserve"> the panel unit root test (CIPS) prepared by </w:t>
      </w:r>
      <w:proofErr w:type="spellStart"/>
      <w:r w:rsidRPr="00781F4C">
        <w:rPr>
          <w:sz w:val="20"/>
          <w:szCs w:val="20"/>
          <w:lang w:val="en-US"/>
        </w:rPr>
        <w:t>Pesaran</w:t>
      </w:r>
      <w:proofErr w:type="spellEnd"/>
      <w:r w:rsidRPr="00781F4C">
        <w:rPr>
          <w:sz w:val="20"/>
          <w:szCs w:val="20"/>
          <w:lang w:val="en-US"/>
        </w:rPr>
        <w:t xml:space="preserve"> (2007) was used to check</w:t>
      </w:r>
      <w:r w:rsidR="00B567E9" w:rsidRPr="00781F4C">
        <w:rPr>
          <w:sz w:val="20"/>
          <w:szCs w:val="20"/>
          <w:lang w:val="en-US"/>
        </w:rPr>
        <w:t xml:space="preserve"> the</w:t>
      </w:r>
      <w:r w:rsidRPr="00781F4C">
        <w:rPr>
          <w:sz w:val="20"/>
          <w:szCs w:val="20"/>
          <w:lang w:val="en-US"/>
        </w:rPr>
        <w:t xml:space="preserve"> stationary of variables. The null hypothesis in this test is that all series have a unit root. The results of CIPS tests (see Table 5, below) show that all of the variables</w:t>
      </w:r>
      <w:r w:rsidRPr="00781F4C">
        <w:rPr>
          <w:sz w:val="20"/>
          <w:szCs w:val="20"/>
        </w:rPr>
        <w:t xml:space="preserve"> </w:t>
      </w:r>
      <w:r w:rsidRPr="00781F4C">
        <w:rPr>
          <w:sz w:val="20"/>
          <w:szCs w:val="20"/>
          <w:lang w:val="en-US"/>
        </w:rPr>
        <w:t>except EQ and GDP at the level cannot reject the null hypothesis. However, EQ and URB with a delay of 1 and 2 and POP with a delay of 2 at the 5% significance level reject the null hypothesis</w:t>
      </w:r>
      <w:r w:rsidR="00417960" w:rsidRPr="00781F4C">
        <w:rPr>
          <w:sz w:val="20"/>
          <w:szCs w:val="20"/>
          <w:lang w:val="en-US"/>
        </w:rPr>
        <w:t xml:space="preserve">. </w:t>
      </w:r>
      <w:r w:rsidR="00436630" w:rsidRPr="00781F4C">
        <w:rPr>
          <w:sz w:val="20"/>
          <w:szCs w:val="20"/>
          <w:lang w:val="en-US"/>
        </w:rPr>
        <w:t>However,</w:t>
      </w:r>
      <w:r w:rsidR="00417960" w:rsidRPr="00781F4C">
        <w:rPr>
          <w:sz w:val="20"/>
          <w:szCs w:val="20"/>
          <w:lang w:val="en-US"/>
        </w:rPr>
        <w:t xml:space="preserve"> after the first-order difference, all variable</w:t>
      </w:r>
      <w:r w:rsidRPr="00781F4C">
        <w:rPr>
          <w:sz w:val="20"/>
          <w:szCs w:val="20"/>
          <w:lang w:val="en-US"/>
        </w:rPr>
        <w:t>s became stationary in level 1%</w:t>
      </w:r>
      <w:r w:rsidR="00417960" w:rsidRPr="00781F4C">
        <w:rPr>
          <w:sz w:val="20"/>
          <w:szCs w:val="20"/>
          <w:lang w:val="en-US"/>
        </w:rPr>
        <w:t>.</w:t>
      </w:r>
    </w:p>
    <w:p w14:paraId="0A0EE317" w14:textId="11EF9EFA" w:rsidR="00E70133" w:rsidRPr="00781F4C" w:rsidRDefault="00E70133" w:rsidP="008E08A5">
      <w:pPr>
        <w:ind w:firstLine="720"/>
        <w:jc w:val="both"/>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8"/>
        <w:gridCol w:w="1570"/>
        <w:gridCol w:w="1398"/>
        <w:gridCol w:w="1620"/>
        <w:gridCol w:w="3552"/>
      </w:tblGrid>
      <w:tr w:rsidR="00E70133" w:rsidRPr="00781F4C" w14:paraId="72B6B270" w14:textId="77777777" w:rsidTr="009060B5">
        <w:tc>
          <w:tcPr>
            <w:tcW w:w="9378" w:type="dxa"/>
            <w:gridSpan w:val="5"/>
            <w:vAlign w:val="center"/>
          </w:tcPr>
          <w:p w14:paraId="00480C9A" w14:textId="77777777" w:rsidR="00E70133" w:rsidRPr="00781F4C" w:rsidRDefault="00E70133" w:rsidP="009060B5">
            <w:pPr>
              <w:keepNext/>
              <w:rPr>
                <w:rStyle w:val="fontstyle21"/>
                <w:rFonts w:asciiTheme="majorBidi" w:hAnsiTheme="majorBidi" w:cstheme="majorBidi"/>
                <w:i/>
                <w:iCs/>
                <w:sz w:val="18"/>
                <w:szCs w:val="18"/>
              </w:rPr>
            </w:pPr>
            <w:r w:rsidRPr="00781F4C">
              <w:rPr>
                <w:rStyle w:val="fontstyle21"/>
                <w:rFonts w:asciiTheme="majorBidi" w:hAnsiTheme="majorBidi" w:cstheme="majorBidi"/>
                <w:i/>
                <w:iCs/>
                <w:sz w:val="18"/>
                <w:szCs w:val="18"/>
              </w:rPr>
              <w:t>Table 5. Panel unit root test (CIPS)</w:t>
            </w:r>
          </w:p>
          <w:p w14:paraId="70B88AEE" w14:textId="77777777" w:rsidR="00EC1D72" w:rsidRPr="00781F4C" w:rsidRDefault="00EC1D72" w:rsidP="009060B5">
            <w:pPr>
              <w:keepNext/>
              <w:rPr>
                <w:rFonts w:eastAsia="Calibri"/>
                <w:sz w:val="16"/>
                <w:szCs w:val="16"/>
                <w:lang w:val="en-GB"/>
              </w:rPr>
            </w:pPr>
          </w:p>
        </w:tc>
      </w:tr>
      <w:tr w:rsidR="00EC1D72" w:rsidRPr="00781F4C" w14:paraId="11B79E84" w14:textId="77777777" w:rsidTr="009060B5">
        <w:trPr>
          <w:gridAfter w:val="1"/>
          <w:wAfter w:w="3552" w:type="dxa"/>
        </w:trPr>
        <w:tc>
          <w:tcPr>
            <w:tcW w:w="1238" w:type="dxa"/>
            <w:tcBorders>
              <w:bottom w:val="single" w:sz="18" w:space="0" w:color="auto"/>
            </w:tcBorders>
            <w:vAlign w:val="center"/>
          </w:tcPr>
          <w:p w14:paraId="228DF4C8" w14:textId="233661DE" w:rsidR="00EC1D72" w:rsidRPr="00781F4C" w:rsidRDefault="00EC1D72" w:rsidP="009060B5">
            <w:pPr>
              <w:keepNext/>
              <w:tabs>
                <w:tab w:val="left" w:pos="3142"/>
              </w:tabs>
              <w:jc w:val="center"/>
              <w:rPr>
                <w:rFonts w:eastAsia="Calibri"/>
                <w:i/>
                <w:iCs/>
                <w:sz w:val="16"/>
                <w:szCs w:val="16"/>
                <w:lang w:val="en-GB"/>
              </w:rPr>
            </w:pPr>
            <w:r w:rsidRPr="00781F4C">
              <w:rPr>
                <w:rFonts w:eastAsia="Calibri"/>
                <w:i/>
                <w:iCs/>
                <w:sz w:val="16"/>
                <w:szCs w:val="16"/>
                <w:lang w:val="en-GB"/>
              </w:rPr>
              <w:t>Variables</w:t>
            </w:r>
          </w:p>
        </w:tc>
        <w:tc>
          <w:tcPr>
            <w:tcW w:w="1570" w:type="dxa"/>
            <w:tcBorders>
              <w:top w:val="single" w:sz="12" w:space="0" w:color="auto"/>
              <w:bottom w:val="single" w:sz="18" w:space="0" w:color="auto"/>
            </w:tcBorders>
            <w:vAlign w:val="center"/>
          </w:tcPr>
          <w:p w14:paraId="3AF468EF" w14:textId="32BF4295" w:rsidR="00EC1D72" w:rsidRPr="00781F4C" w:rsidRDefault="00EC1D72" w:rsidP="009060B5">
            <w:pPr>
              <w:keepNext/>
              <w:tabs>
                <w:tab w:val="left" w:pos="3142"/>
              </w:tabs>
              <w:jc w:val="center"/>
              <w:rPr>
                <w:rFonts w:eastAsia="Calibri"/>
                <w:i/>
                <w:iCs/>
                <w:sz w:val="16"/>
                <w:szCs w:val="16"/>
                <w:lang w:val="en-GB"/>
              </w:rPr>
            </w:pPr>
            <w:r w:rsidRPr="00781F4C">
              <w:rPr>
                <w:rFonts w:eastAsia="Calibri"/>
                <w:i/>
                <w:iCs/>
                <w:sz w:val="16"/>
                <w:szCs w:val="16"/>
                <w:lang w:val="en-GB"/>
              </w:rPr>
              <w:t>CIPS*</w:t>
            </w:r>
          </w:p>
        </w:tc>
        <w:tc>
          <w:tcPr>
            <w:tcW w:w="1398" w:type="dxa"/>
            <w:tcBorders>
              <w:top w:val="single" w:sz="12" w:space="0" w:color="auto"/>
              <w:left w:val="single" w:sz="12" w:space="0" w:color="auto"/>
              <w:bottom w:val="single" w:sz="18" w:space="0" w:color="auto"/>
            </w:tcBorders>
            <w:vAlign w:val="center"/>
          </w:tcPr>
          <w:p w14:paraId="07397B62" w14:textId="77777777" w:rsidR="00EC1D72" w:rsidRPr="00781F4C" w:rsidRDefault="00EC1D72" w:rsidP="009060B5">
            <w:pPr>
              <w:keepNext/>
              <w:tabs>
                <w:tab w:val="left" w:pos="3142"/>
              </w:tabs>
              <w:jc w:val="center"/>
              <w:rPr>
                <w:rFonts w:eastAsia="Calibri"/>
                <w:i/>
                <w:iCs/>
                <w:sz w:val="16"/>
                <w:szCs w:val="16"/>
                <w:lang w:val="en-GB"/>
              </w:rPr>
            </w:pPr>
            <w:r w:rsidRPr="00781F4C">
              <w:rPr>
                <w:rFonts w:eastAsia="Calibri"/>
                <w:i/>
                <w:iCs/>
                <w:sz w:val="16"/>
                <w:szCs w:val="16"/>
                <w:lang w:val="en-GB"/>
              </w:rPr>
              <w:t>Variables</w:t>
            </w:r>
          </w:p>
        </w:tc>
        <w:tc>
          <w:tcPr>
            <w:tcW w:w="1620" w:type="dxa"/>
            <w:tcBorders>
              <w:top w:val="single" w:sz="12" w:space="0" w:color="auto"/>
              <w:bottom w:val="single" w:sz="18" w:space="0" w:color="auto"/>
            </w:tcBorders>
            <w:vAlign w:val="center"/>
          </w:tcPr>
          <w:p w14:paraId="433F0F61" w14:textId="6E6A2E2F" w:rsidR="00EC1D72" w:rsidRPr="00781F4C" w:rsidRDefault="00EC1D72" w:rsidP="009060B5">
            <w:pPr>
              <w:keepNext/>
              <w:tabs>
                <w:tab w:val="left" w:pos="3142"/>
              </w:tabs>
              <w:jc w:val="center"/>
              <w:rPr>
                <w:rFonts w:eastAsia="Calibri"/>
                <w:i/>
                <w:iCs/>
                <w:sz w:val="16"/>
                <w:szCs w:val="16"/>
                <w:lang w:val="en-GB"/>
              </w:rPr>
            </w:pPr>
            <w:r w:rsidRPr="00781F4C">
              <w:rPr>
                <w:rFonts w:eastAsia="Calibri"/>
                <w:i/>
                <w:iCs/>
                <w:sz w:val="16"/>
                <w:szCs w:val="16"/>
                <w:lang w:val="en-GB"/>
              </w:rPr>
              <w:t>CIPS*</w:t>
            </w:r>
          </w:p>
        </w:tc>
      </w:tr>
      <w:tr w:rsidR="00EC1D72" w:rsidRPr="00781F4C" w14:paraId="359952D3" w14:textId="77777777" w:rsidTr="009060B5">
        <w:trPr>
          <w:gridAfter w:val="1"/>
          <w:wAfter w:w="3552" w:type="dxa"/>
        </w:trPr>
        <w:tc>
          <w:tcPr>
            <w:tcW w:w="1238" w:type="dxa"/>
            <w:vAlign w:val="center"/>
          </w:tcPr>
          <w:p w14:paraId="4C48EEB1" w14:textId="4FB2CFF3" w:rsidR="00EC1D72" w:rsidRPr="00781F4C" w:rsidRDefault="00774283" w:rsidP="009060B5">
            <w:pPr>
              <w:keepNext/>
              <w:tabs>
                <w:tab w:val="left" w:pos="3142"/>
              </w:tabs>
              <w:jc w:val="center"/>
              <w:rPr>
                <w:rFonts w:eastAsia="Calibri"/>
                <w:sz w:val="16"/>
                <w:szCs w:val="16"/>
                <w:lang w:val="en-GB"/>
              </w:rPr>
            </w:pPr>
            <w:r w:rsidRPr="00781F4C">
              <w:rPr>
                <w:rFonts w:eastAsia="Calibri"/>
                <w:sz w:val="16"/>
                <w:szCs w:val="16"/>
                <w:lang w:val="en-GB"/>
              </w:rPr>
              <w:t>E</w:t>
            </w:r>
            <w:r w:rsidR="00EC1D72" w:rsidRPr="00781F4C">
              <w:rPr>
                <w:rFonts w:eastAsia="Calibri"/>
                <w:sz w:val="16"/>
                <w:szCs w:val="16"/>
                <w:lang w:val="en-GB"/>
              </w:rPr>
              <w:t>FP</w:t>
            </w:r>
          </w:p>
        </w:tc>
        <w:tc>
          <w:tcPr>
            <w:tcW w:w="1570" w:type="dxa"/>
            <w:vAlign w:val="center"/>
          </w:tcPr>
          <w:p w14:paraId="24F9D3BE" w14:textId="1E4A3AC7" w:rsidR="00EC1D72" w:rsidRPr="00781F4C" w:rsidRDefault="00EC1D72" w:rsidP="006B1EDB">
            <w:pPr>
              <w:keepNext/>
              <w:tabs>
                <w:tab w:val="left" w:pos="3142"/>
              </w:tabs>
              <w:jc w:val="center"/>
              <w:rPr>
                <w:rFonts w:eastAsia="Calibri"/>
                <w:sz w:val="16"/>
                <w:szCs w:val="16"/>
                <w:lang w:val="en-GB"/>
              </w:rPr>
            </w:pPr>
            <w:r w:rsidRPr="00781F4C">
              <w:rPr>
                <w:rFonts w:eastAsia="Calibri"/>
                <w:sz w:val="16"/>
                <w:szCs w:val="16"/>
                <w:lang w:val="en-GB"/>
              </w:rPr>
              <w:t>-2.125</w:t>
            </w:r>
            <w:r w:rsidRPr="00781F4C">
              <w:rPr>
                <w:rFonts w:eastAsia="Calibri"/>
                <w:sz w:val="16"/>
                <w:szCs w:val="16"/>
                <w:vertAlign w:val="superscript"/>
                <w:lang w:val="en-GB"/>
              </w:rPr>
              <w:t>*</w:t>
            </w:r>
          </w:p>
        </w:tc>
        <w:tc>
          <w:tcPr>
            <w:tcW w:w="1398" w:type="dxa"/>
            <w:vAlign w:val="center"/>
          </w:tcPr>
          <w:p w14:paraId="012506A4" w14:textId="6022D96E" w:rsidR="00EC1D72" w:rsidRPr="00781F4C" w:rsidRDefault="00EC1D72" w:rsidP="009060B5">
            <w:pPr>
              <w:keepNext/>
              <w:tabs>
                <w:tab w:val="left" w:pos="3142"/>
              </w:tabs>
              <w:jc w:val="center"/>
              <w:rPr>
                <w:rFonts w:eastAsia="Calibri"/>
                <w:sz w:val="16"/>
                <w:szCs w:val="16"/>
                <w:lang w:val="en-GB"/>
              </w:rPr>
            </w:pPr>
            <w:r w:rsidRPr="00781F4C">
              <w:rPr>
                <w:rFonts w:eastAsia="Calibri"/>
                <w:sz w:val="16"/>
                <w:szCs w:val="16"/>
                <w:lang w:val="en-GB"/>
              </w:rPr>
              <w:t>L</w:t>
            </w:r>
            <w:r w:rsidR="00FE7A30" w:rsidRPr="00781F4C">
              <w:rPr>
                <w:rFonts w:eastAsia="Calibri"/>
                <w:sz w:val="16"/>
                <w:szCs w:val="16"/>
                <w:lang w:val="en-GB"/>
              </w:rPr>
              <w:t>E</w:t>
            </w:r>
            <w:r w:rsidRPr="00781F4C">
              <w:rPr>
                <w:rFonts w:eastAsia="Calibri"/>
                <w:sz w:val="16"/>
                <w:szCs w:val="16"/>
                <w:lang w:val="en-GB"/>
              </w:rPr>
              <w:t>FP</w:t>
            </w:r>
          </w:p>
        </w:tc>
        <w:tc>
          <w:tcPr>
            <w:tcW w:w="1620" w:type="dxa"/>
            <w:vAlign w:val="center"/>
          </w:tcPr>
          <w:p w14:paraId="047C83D2" w14:textId="25C951F4" w:rsidR="00EC1D72" w:rsidRPr="00781F4C" w:rsidRDefault="00EC1D72" w:rsidP="009060B5">
            <w:pPr>
              <w:keepNext/>
              <w:tabs>
                <w:tab w:val="left" w:pos="3142"/>
              </w:tabs>
              <w:jc w:val="center"/>
              <w:rPr>
                <w:rFonts w:eastAsia="Calibri"/>
                <w:sz w:val="16"/>
                <w:szCs w:val="16"/>
                <w:vertAlign w:val="superscript"/>
                <w:lang w:val="en-GB"/>
              </w:rPr>
            </w:pPr>
            <w:r w:rsidRPr="00781F4C">
              <w:rPr>
                <w:rFonts w:eastAsia="Calibri"/>
                <w:sz w:val="16"/>
                <w:szCs w:val="16"/>
                <w:lang w:val="en-GB"/>
              </w:rPr>
              <w:t>-2.604</w:t>
            </w:r>
            <w:r w:rsidRPr="00781F4C">
              <w:rPr>
                <w:rFonts w:eastAsia="Calibri"/>
                <w:sz w:val="16"/>
                <w:szCs w:val="16"/>
                <w:vertAlign w:val="superscript"/>
                <w:lang w:val="en-GB"/>
              </w:rPr>
              <w:t>***</w:t>
            </w:r>
          </w:p>
        </w:tc>
      </w:tr>
      <w:tr w:rsidR="00EC1D72" w:rsidRPr="00781F4C" w14:paraId="184DD71B" w14:textId="77777777" w:rsidTr="009060B5">
        <w:trPr>
          <w:gridAfter w:val="1"/>
          <w:wAfter w:w="3552" w:type="dxa"/>
        </w:trPr>
        <w:tc>
          <w:tcPr>
            <w:tcW w:w="1238" w:type="dxa"/>
            <w:vAlign w:val="center"/>
          </w:tcPr>
          <w:p w14:paraId="560B3AFF" w14:textId="19E070AD" w:rsidR="00EC1D72" w:rsidRPr="00781F4C" w:rsidRDefault="00774283" w:rsidP="009060B5">
            <w:pPr>
              <w:keepNext/>
              <w:tabs>
                <w:tab w:val="left" w:pos="3142"/>
              </w:tabs>
              <w:jc w:val="center"/>
              <w:rPr>
                <w:rFonts w:eastAsia="Calibri"/>
                <w:sz w:val="16"/>
                <w:szCs w:val="16"/>
                <w:lang w:val="en-GB"/>
              </w:rPr>
            </w:pPr>
            <w:r w:rsidRPr="00781F4C">
              <w:rPr>
                <w:rFonts w:eastAsia="Calibri"/>
                <w:sz w:val="16"/>
                <w:szCs w:val="16"/>
                <w:lang w:val="en-GB"/>
              </w:rPr>
              <w:t>E</w:t>
            </w:r>
            <w:r w:rsidR="00EC1D72" w:rsidRPr="00781F4C">
              <w:rPr>
                <w:rFonts w:eastAsia="Calibri"/>
                <w:sz w:val="16"/>
                <w:szCs w:val="16"/>
                <w:lang w:val="en-GB"/>
              </w:rPr>
              <w:t>Q</w:t>
            </w:r>
          </w:p>
        </w:tc>
        <w:tc>
          <w:tcPr>
            <w:tcW w:w="1570" w:type="dxa"/>
            <w:vAlign w:val="center"/>
          </w:tcPr>
          <w:p w14:paraId="07E33A62" w14:textId="20BDA389" w:rsidR="00EC1D72" w:rsidRPr="00781F4C" w:rsidRDefault="00EC1D72" w:rsidP="006B1EDB">
            <w:pPr>
              <w:keepNext/>
              <w:tabs>
                <w:tab w:val="left" w:pos="3142"/>
              </w:tabs>
              <w:jc w:val="center"/>
              <w:rPr>
                <w:rFonts w:eastAsia="Calibri"/>
                <w:sz w:val="16"/>
                <w:szCs w:val="16"/>
                <w:lang w:val="en-GB"/>
              </w:rPr>
            </w:pPr>
            <w:r w:rsidRPr="00781F4C">
              <w:rPr>
                <w:rFonts w:eastAsia="Calibri"/>
                <w:sz w:val="16"/>
                <w:szCs w:val="16"/>
                <w:lang w:val="en-GB"/>
              </w:rPr>
              <w:t>-2.820</w:t>
            </w:r>
            <w:r w:rsidRPr="00781F4C">
              <w:rPr>
                <w:rFonts w:eastAsia="Calibri"/>
                <w:sz w:val="16"/>
                <w:szCs w:val="16"/>
                <w:vertAlign w:val="superscript"/>
                <w:lang w:val="en-GB"/>
              </w:rPr>
              <w:t>***</w:t>
            </w:r>
          </w:p>
        </w:tc>
        <w:tc>
          <w:tcPr>
            <w:tcW w:w="1398" w:type="dxa"/>
            <w:vAlign w:val="center"/>
          </w:tcPr>
          <w:p w14:paraId="3C62A3C9" w14:textId="33FC4BC5" w:rsidR="00EC1D72" w:rsidRPr="00781F4C" w:rsidRDefault="00EC1D72" w:rsidP="009060B5">
            <w:pPr>
              <w:keepNext/>
              <w:tabs>
                <w:tab w:val="left" w:pos="3142"/>
              </w:tabs>
              <w:jc w:val="center"/>
              <w:rPr>
                <w:rFonts w:eastAsia="Calibri"/>
                <w:sz w:val="16"/>
                <w:szCs w:val="16"/>
                <w:lang w:val="en-GB"/>
              </w:rPr>
            </w:pPr>
            <w:r w:rsidRPr="00781F4C">
              <w:rPr>
                <w:rFonts w:eastAsia="Calibri"/>
                <w:sz w:val="16"/>
                <w:szCs w:val="16"/>
                <w:lang w:val="en-GB"/>
              </w:rPr>
              <w:t>L</w:t>
            </w:r>
            <w:r w:rsidR="00FE7A30" w:rsidRPr="00781F4C">
              <w:rPr>
                <w:rFonts w:eastAsia="Calibri"/>
                <w:sz w:val="16"/>
                <w:szCs w:val="16"/>
                <w:lang w:val="en-GB"/>
              </w:rPr>
              <w:t>E</w:t>
            </w:r>
            <w:r w:rsidRPr="00781F4C">
              <w:rPr>
                <w:rFonts w:eastAsia="Calibri"/>
                <w:sz w:val="16"/>
                <w:szCs w:val="16"/>
                <w:lang w:val="en-GB"/>
              </w:rPr>
              <w:t>Q</w:t>
            </w:r>
          </w:p>
        </w:tc>
        <w:tc>
          <w:tcPr>
            <w:tcW w:w="1620" w:type="dxa"/>
            <w:vAlign w:val="center"/>
          </w:tcPr>
          <w:p w14:paraId="2F3228AB" w14:textId="6FBED14E" w:rsidR="00EC1D72" w:rsidRPr="00781F4C" w:rsidRDefault="00EC1D72" w:rsidP="009060B5">
            <w:pPr>
              <w:keepNext/>
              <w:tabs>
                <w:tab w:val="left" w:pos="3142"/>
              </w:tabs>
              <w:jc w:val="center"/>
              <w:rPr>
                <w:rFonts w:eastAsia="Calibri"/>
                <w:sz w:val="16"/>
                <w:szCs w:val="16"/>
                <w:vertAlign w:val="superscript"/>
                <w:lang w:val="en-GB"/>
              </w:rPr>
            </w:pPr>
            <w:r w:rsidRPr="00781F4C">
              <w:rPr>
                <w:rFonts w:eastAsia="Calibri"/>
                <w:sz w:val="16"/>
                <w:szCs w:val="16"/>
                <w:lang w:val="en-GB"/>
              </w:rPr>
              <w:t>-2.997</w:t>
            </w:r>
            <w:r w:rsidRPr="00781F4C">
              <w:rPr>
                <w:rFonts w:eastAsia="Calibri"/>
                <w:sz w:val="16"/>
                <w:szCs w:val="16"/>
                <w:vertAlign w:val="superscript"/>
                <w:lang w:val="en-GB"/>
              </w:rPr>
              <w:t>***</w:t>
            </w:r>
          </w:p>
        </w:tc>
      </w:tr>
      <w:tr w:rsidR="00EC1D72" w:rsidRPr="00781F4C" w14:paraId="09B27CD5" w14:textId="77777777" w:rsidTr="009060B5">
        <w:trPr>
          <w:gridAfter w:val="1"/>
          <w:wAfter w:w="3552" w:type="dxa"/>
        </w:trPr>
        <w:tc>
          <w:tcPr>
            <w:tcW w:w="1238" w:type="dxa"/>
            <w:vAlign w:val="center"/>
          </w:tcPr>
          <w:p w14:paraId="7D41F76E" w14:textId="1CAC0755" w:rsidR="00EC1D72" w:rsidRPr="00781F4C" w:rsidRDefault="00774283" w:rsidP="009060B5">
            <w:pPr>
              <w:keepNext/>
              <w:tabs>
                <w:tab w:val="left" w:pos="3142"/>
              </w:tabs>
              <w:jc w:val="center"/>
              <w:rPr>
                <w:rFonts w:eastAsia="Calibri"/>
                <w:sz w:val="16"/>
                <w:szCs w:val="16"/>
                <w:lang w:val="en-GB"/>
              </w:rPr>
            </w:pPr>
            <w:r w:rsidRPr="00781F4C">
              <w:rPr>
                <w:rFonts w:eastAsia="Calibri"/>
                <w:sz w:val="16"/>
                <w:szCs w:val="16"/>
                <w:lang w:val="en-GB"/>
              </w:rPr>
              <w:t>TO</w:t>
            </w:r>
          </w:p>
        </w:tc>
        <w:tc>
          <w:tcPr>
            <w:tcW w:w="1570" w:type="dxa"/>
            <w:vAlign w:val="center"/>
          </w:tcPr>
          <w:p w14:paraId="66BE21E2" w14:textId="26377DF0" w:rsidR="00EC1D72" w:rsidRPr="00781F4C" w:rsidRDefault="00EC1D72" w:rsidP="00CF6621">
            <w:pPr>
              <w:keepNext/>
              <w:tabs>
                <w:tab w:val="left" w:pos="3142"/>
              </w:tabs>
              <w:jc w:val="center"/>
              <w:rPr>
                <w:rFonts w:eastAsia="Calibri"/>
                <w:sz w:val="16"/>
                <w:szCs w:val="16"/>
                <w:lang w:val="en-GB"/>
              </w:rPr>
            </w:pPr>
            <w:r w:rsidRPr="00781F4C">
              <w:rPr>
                <w:rFonts w:eastAsia="Calibri"/>
                <w:sz w:val="16"/>
                <w:szCs w:val="16"/>
                <w:lang w:val="en-GB"/>
              </w:rPr>
              <w:t>-1.747</w:t>
            </w:r>
          </w:p>
        </w:tc>
        <w:tc>
          <w:tcPr>
            <w:tcW w:w="1398" w:type="dxa"/>
            <w:vAlign w:val="center"/>
          </w:tcPr>
          <w:p w14:paraId="142345C7" w14:textId="7C14241B" w:rsidR="00EC1D72" w:rsidRPr="00781F4C" w:rsidRDefault="00FE7A30" w:rsidP="009060B5">
            <w:pPr>
              <w:keepNext/>
              <w:tabs>
                <w:tab w:val="left" w:pos="3142"/>
              </w:tabs>
              <w:jc w:val="center"/>
              <w:rPr>
                <w:rFonts w:eastAsia="Calibri"/>
                <w:sz w:val="16"/>
                <w:szCs w:val="16"/>
                <w:lang w:val="en-GB"/>
              </w:rPr>
            </w:pPr>
            <w:r w:rsidRPr="00781F4C">
              <w:rPr>
                <w:rFonts w:eastAsia="Calibri"/>
                <w:sz w:val="16"/>
                <w:szCs w:val="16"/>
                <w:lang w:val="en-GB"/>
              </w:rPr>
              <w:t>LTO</w:t>
            </w:r>
          </w:p>
        </w:tc>
        <w:tc>
          <w:tcPr>
            <w:tcW w:w="1620" w:type="dxa"/>
            <w:vAlign w:val="center"/>
          </w:tcPr>
          <w:p w14:paraId="28388FBA" w14:textId="093FA2CE" w:rsidR="00EC1D72" w:rsidRPr="00781F4C" w:rsidRDefault="00EC1D72" w:rsidP="009060B5">
            <w:pPr>
              <w:keepNext/>
              <w:tabs>
                <w:tab w:val="left" w:pos="3142"/>
              </w:tabs>
              <w:jc w:val="center"/>
              <w:rPr>
                <w:rFonts w:eastAsia="Calibri"/>
                <w:sz w:val="16"/>
                <w:szCs w:val="16"/>
                <w:vertAlign w:val="superscript"/>
                <w:lang w:val="en-GB"/>
              </w:rPr>
            </w:pPr>
            <w:r w:rsidRPr="00781F4C">
              <w:rPr>
                <w:rFonts w:eastAsia="Calibri"/>
                <w:sz w:val="16"/>
                <w:szCs w:val="16"/>
                <w:lang w:val="en-GB"/>
              </w:rPr>
              <w:t>-2.415</w:t>
            </w:r>
            <w:r w:rsidRPr="00781F4C">
              <w:rPr>
                <w:rFonts w:eastAsia="Calibri"/>
                <w:sz w:val="16"/>
                <w:szCs w:val="16"/>
                <w:vertAlign w:val="superscript"/>
                <w:lang w:val="en-GB"/>
              </w:rPr>
              <w:t>***</w:t>
            </w:r>
          </w:p>
        </w:tc>
      </w:tr>
      <w:tr w:rsidR="00EC1D72" w:rsidRPr="00781F4C" w14:paraId="2BC6D641" w14:textId="77777777" w:rsidTr="009060B5">
        <w:trPr>
          <w:gridAfter w:val="1"/>
          <w:wAfter w:w="3552" w:type="dxa"/>
        </w:trPr>
        <w:tc>
          <w:tcPr>
            <w:tcW w:w="1238" w:type="dxa"/>
            <w:vAlign w:val="center"/>
          </w:tcPr>
          <w:p w14:paraId="1F6BA264" w14:textId="3A54FBB4" w:rsidR="00EC1D72" w:rsidRPr="00781F4C" w:rsidRDefault="00EC1D72" w:rsidP="009060B5">
            <w:pPr>
              <w:keepNext/>
              <w:tabs>
                <w:tab w:val="left" w:pos="3142"/>
              </w:tabs>
              <w:jc w:val="center"/>
              <w:rPr>
                <w:rFonts w:eastAsia="Calibri"/>
                <w:sz w:val="16"/>
                <w:szCs w:val="16"/>
                <w:lang w:val="en-GB"/>
              </w:rPr>
            </w:pPr>
            <w:r w:rsidRPr="00781F4C">
              <w:rPr>
                <w:rFonts w:eastAsia="Calibri"/>
                <w:sz w:val="16"/>
                <w:szCs w:val="16"/>
                <w:lang w:val="en-GB"/>
              </w:rPr>
              <w:t>UR</w:t>
            </w:r>
          </w:p>
        </w:tc>
        <w:tc>
          <w:tcPr>
            <w:tcW w:w="1570" w:type="dxa"/>
            <w:vAlign w:val="center"/>
          </w:tcPr>
          <w:p w14:paraId="7F4193D7" w14:textId="328632B2" w:rsidR="00EC1D72" w:rsidRPr="00781F4C" w:rsidRDefault="00EC1D72" w:rsidP="006B1EDB">
            <w:pPr>
              <w:keepNext/>
              <w:tabs>
                <w:tab w:val="left" w:pos="3142"/>
              </w:tabs>
              <w:jc w:val="center"/>
              <w:rPr>
                <w:rFonts w:eastAsia="Calibri"/>
                <w:sz w:val="16"/>
                <w:szCs w:val="16"/>
                <w:vertAlign w:val="superscript"/>
                <w:lang w:val="en-GB"/>
              </w:rPr>
            </w:pPr>
            <w:r w:rsidRPr="00781F4C">
              <w:rPr>
                <w:rFonts w:eastAsia="Calibri"/>
                <w:sz w:val="16"/>
                <w:szCs w:val="16"/>
                <w:lang w:val="en-GB"/>
              </w:rPr>
              <w:t>-1.487</w:t>
            </w:r>
          </w:p>
        </w:tc>
        <w:tc>
          <w:tcPr>
            <w:tcW w:w="1398" w:type="dxa"/>
            <w:vAlign w:val="center"/>
          </w:tcPr>
          <w:p w14:paraId="329442F7" w14:textId="302BB73D" w:rsidR="00EC1D72" w:rsidRPr="00781F4C" w:rsidRDefault="00EC1D72" w:rsidP="009060B5">
            <w:pPr>
              <w:keepNext/>
              <w:tabs>
                <w:tab w:val="left" w:pos="3142"/>
              </w:tabs>
              <w:jc w:val="center"/>
              <w:rPr>
                <w:rFonts w:eastAsia="Calibri"/>
                <w:sz w:val="16"/>
                <w:szCs w:val="16"/>
                <w:lang w:val="en-GB"/>
              </w:rPr>
            </w:pPr>
            <w:r w:rsidRPr="00781F4C">
              <w:rPr>
                <w:rFonts w:eastAsia="Calibri"/>
                <w:sz w:val="16"/>
                <w:szCs w:val="16"/>
                <w:lang w:val="en-GB"/>
              </w:rPr>
              <w:t>LUR</w:t>
            </w:r>
          </w:p>
        </w:tc>
        <w:tc>
          <w:tcPr>
            <w:tcW w:w="1620" w:type="dxa"/>
            <w:vAlign w:val="center"/>
          </w:tcPr>
          <w:p w14:paraId="7CD9D7CA" w14:textId="65DB1425" w:rsidR="00EC1D72" w:rsidRPr="00781F4C" w:rsidRDefault="00EC1D72" w:rsidP="009060B5">
            <w:pPr>
              <w:keepNext/>
              <w:tabs>
                <w:tab w:val="left" w:pos="3142"/>
              </w:tabs>
              <w:jc w:val="center"/>
              <w:rPr>
                <w:rFonts w:eastAsia="Calibri"/>
                <w:sz w:val="16"/>
                <w:szCs w:val="16"/>
                <w:vertAlign w:val="superscript"/>
                <w:lang w:val="en-GB"/>
              </w:rPr>
            </w:pPr>
            <w:r w:rsidRPr="00781F4C">
              <w:rPr>
                <w:rFonts w:eastAsia="Calibri"/>
                <w:sz w:val="16"/>
                <w:szCs w:val="16"/>
                <w:lang w:val="en-GB"/>
              </w:rPr>
              <w:t>-2.39</w:t>
            </w:r>
            <w:r w:rsidRPr="00781F4C">
              <w:rPr>
                <w:rFonts w:eastAsia="Calibri"/>
                <w:sz w:val="16"/>
                <w:szCs w:val="16"/>
                <w:vertAlign w:val="superscript"/>
                <w:lang w:val="en-GB"/>
              </w:rPr>
              <w:t xml:space="preserve"> ***</w:t>
            </w:r>
          </w:p>
        </w:tc>
      </w:tr>
      <w:tr w:rsidR="00EC1D72" w:rsidRPr="00781F4C" w14:paraId="25E45951" w14:textId="77777777" w:rsidTr="009060B5">
        <w:trPr>
          <w:gridAfter w:val="1"/>
          <w:wAfter w:w="3552" w:type="dxa"/>
        </w:trPr>
        <w:tc>
          <w:tcPr>
            <w:tcW w:w="1238" w:type="dxa"/>
            <w:vAlign w:val="center"/>
          </w:tcPr>
          <w:p w14:paraId="061651EF" w14:textId="2B602943" w:rsidR="00EC1D72" w:rsidRPr="00781F4C" w:rsidRDefault="00EC1D72" w:rsidP="009060B5">
            <w:pPr>
              <w:keepNext/>
              <w:tabs>
                <w:tab w:val="left" w:pos="3142"/>
              </w:tabs>
              <w:jc w:val="center"/>
              <w:rPr>
                <w:rFonts w:eastAsia="Calibri"/>
                <w:sz w:val="16"/>
                <w:szCs w:val="16"/>
                <w:lang w:val="en-GB"/>
              </w:rPr>
            </w:pPr>
            <w:r w:rsidRPr="00781F4C">
              <w:rPr>
                <w:rFonts w:eastAsia="Calibri"/>
                <w:sz w:val="16"/>
                <w:szCs w:val="16"/>
                <w:lang w:val="en-GB"/>
              </w:rPr>
              <w:t>GDP</w:t>
            </w:r>
          </w:p>
        </w:tc>
        <w:tc>
          <w:tcPr>
            <w:tcW w:w="1570" w:type="dxa"/>
            <w:vAlign w:val="center"/>
          </w:tcPr>
          <w:p w14:paraId="2151FAE5" w14:textId="39E71862" w:rsidR="00EC1D72" w:rsidRPr="00781F4C" w:rsidRDefault="00EC1D72" w:rsidP="006B1EDB">
            <w:pPr>
              <w:keepNext/>
              <w:tabs>
                <w:tab w:val="left" w:pos="3142"/>
              </w:tabs>
              <w:jc w:val="center"/>
              <w:rPr>
                <w:rFonts w:eastAsia="Calibri"/>
                <w:sz w:val="16"/>
                <w:szCs w:val="16"/>
                <w:vertAlign w:val="superscript"/>
                <w:lang w:val="en-GB"/>
              </w:rPr>
            </w:pPr>
            <w:r w:rsidRPr="00781F4C">
              <w:rPr>
                <w:rFonts w:eastAsia="Calibri"/>
                <w:sz w:val="16"/>
                <w:szCs w:val="16"/>
                <w:lang w:val="en-GB"/>
              </w:rPr>
              <w:t>-0.906</w:t>
            </w:r>
            <w:r w:rsidRPr="00781F4C">
              <w:rPr>
                <w:rFonts w:eastAsia="Calibri"/>
                <w:sz w:val="16"/>
                <w:szCs w:val="16"/>
                <w:vertAlign w:val="superscript"/>
                <w:lang w:val="en-GB"/>
              </w:rPr>
              <w:t>***</w:t>
            </w:r>
          </w:p>
        </w:tc>
        <w:tc>
          <w:tcPr>
            <w:tcW w:w="1398" w:type="dxa"/>
            <w:vAlign w:val="center"/>
          </w:tcPr>
          <w:p w14:paraId="2AF8CD56" w14:textId="56AA6C7E" w:rsidR="00EC1D72" w:rsidRPr="00781F4C" w:rsidRDefault="00EC1D72" w:rsidP="009060B5">
            <w:pPr>
              <w:keepNext/>
              <w:tabs>
                <w:tab w:val="left" w:pos="3142"/>
              </w:tabs>
              <w:jc w:val="center"/>
              <w:rPr>
                <w:rFonts w:eastAsia="Calibri"/>
                <w:sz w:val="16"/>
                <w:szCs w:val="16"/>
                <w:lang w:val="en-GB"/>
              </w:rPr>
            </w:pPr>
            <w:r w:rsidRPr="00781F4C">
              <w:rPr>
                <w:rFonts w:eastAsia="Calibri"/>
                <w:sz w:val="16"/>
                <w:szCs w:val="16"/>
                <w:lang w:val="en-GB"/>
              </w:rPr>
              <w:t>LGDP</w:t>
            </w:r>
          </w:p>
        </w:tc>
        <w:tc>
          <w:tcPr>
            <w:tcW w:w="1620" w:type="dxa"/>
            <w:vAlign w:val="center"/>
          </w:tcPr>
          <w:p w14:paraId="25EA340F" w14:textId="509A56FE" w:rsidR="00EC1D72" w:rsidRPr="00781F4C" w:rsidRDefault="00EC1D72" w:rsidP="009060B5">
            <w:pPr>
              <w:keepNext/>
              <w:tabs>
                <w:tab w:val="left" w:pos="3142"/>
              </w:tabs>
              <w:jc w:val="center"/>
              <w:rPr>
                <w:rFonts w:eastAsia="Calibri"/>
                <w:sz w:val="16"/>
                <w:szCs w:val="16"/>
                <w:vertAlign w:val="superscript"/>
                <w:lang w:val="en-GB"/>
              </w:rPr>
            </w:pPr>
            <w:r w:rsidRPr="00781F4C">
              <w:rPr>
                <w:rFonts w:eastAsia="Calibri"/>
                <w:sz w:val="16"/>
                <w:szCs w:val="16"/>
                <w:lang w:val="en-GB"/>
              </w:rPr>
              <w:t>-2.475</w:t>
            </w:r>
            <w:r w:rsidRPr="00781F4C">
              <w:rPr>
                <w:rFonts w:eastAsia="Calibri"/>
                <w:sz w:val="16"/>
                <w:szCs w:val="16"/>
                <w:vertAlign w:val="superscript"/>
                <w:lang w:val="en-GB"/>
              </w:rPr>
              <w:t>***</w:t>
            </w:r>
          </w:p>
        </w:tc>
      </w:tr>
      <w:tr w:rsidR="00EC1D72" w:rsidRPr="00781F4C" w14:paraId="659C77DF" w14:textId="77777777" w:rsidTr="009060B5">
        <w:trPr>
          <w:gridAfter w:val="1"/>
          <w:wAfter w:w="3552" w:type="dxa"/>
        </w:trPr>
        <w:tc>
          <w:tcPr>
            <w:tcW w:w="1238" w:type="dxa"/>
            <w:tcBorders>
              <w:bottom w:val="single" w:sz="12" w:space="0" w:color="auto"/>
            </w:tcBorders>
            <w:vAlign w:val="center"/>
          </w:tcPr>
          <w:p w14:paraId="44433C89" w14:textId="0EA209E5" w:rsidR="00EC1D72" w:rsidRPr="00781F4C" w:rsidRDefault="00EC1D72" w:rsidP="009060B5">
            <w:pPr>
              <w:keepNext/>
              <w:tabs>
                <w:tab w:val="left" w:pos="3142"/>
              </w:tabs>
              <w:jc w:val="center"/>
              <w:rPr>
                <w:rFonts w:eastAsia="Calibri"/>
                <w:sz w:val="16"/>
                <w:szCs w:val="16"/>
                <w:lang w:val="en-GB"/>
              </w:rPr>
            </w:pPr>
            <w:r w:rsidRPr="00781F4C">
              <w:rPr>
                <w:rFonts w:eastAsia="Calibri"/>
                <w:sz w:val="16"/>
                <w:szCs w:val="16"/>
                <w:lang w:val="en-GB"/>
              </w:rPr>
              <w:t>F</w:t>
            </w:r>
            <w:r w:rsidR="00774283" w:rsidRPr="00781F4C">
              <w:rPr>
                <w:rFonts w:eastAsia="Calibri"/>
                <w:sz w:val="16"/>
                <w:szCs w:val="16"/>
                <w:lang w:val="en-GB"/>
              </w:rPr>
              <w:t>R</w:t>
            </w:r>
          </w:p>
        </w:tc>
        <w:tc>
          <w:tcPr>
            <w:tcW w:w="1570" w:type="dxa"/>
            <w:tcBorders>
              <w:bottom w:val="single" w:sz="12" w:space="0" w:color="auto"/>
            </w:tcBorders>
            <w:vAlign w:val="center"/>
          </w:tcPr>
          <w:p w14:paraId="627631E1" w14:textId="719F4A48" w:rsidR="00EC1D72" w:rsidRPr="00781F4C" w:rsidRDefault="00EC1D72" w:rsidP="00CF6621">
            <w:pPr>
              <w:keepNext/>
              <w:tabs>
                <w:tab w:val="left" w:pos="3142"/>
              </w:tabs>
              <w:jc w:val="center"/>
              <w:rPr>
                <w:rFonts w:eastAsia="Calibri"/>
                <w:sz w:val="16"/>
                <w:szCs w:val="16"/>
                <w:lang w:val="en-GB"/>
              </w:rPr>
            </w:pPr>
            <w:r w:rsidRPr="00781F4C">
              <w:rPr>
                <w:rFonts w:eastAsia="Calibri"/>
                <w:sz w:val="16"/>
                <w:szCs w:val="16"/>
                <w:lang w:val="en-GB"/>
              </w:rPr>
              <w:t>-1.345</w:t>
            </w:r>
          </w:p>
        </w:tc>
        <w:tc>
          <w:tcPr>
            <w:tcW w:w="1398" w:type="dxa"/>
            <w:tcBorders>
              <w:bottom w:val="single" w:sz="12" w:space="0" w:color="auto"/>
            </w:tcBorders>
            <w:vAlign w:val="center"/>
          </w:tcPr>
          <w:p w14:paraId="055C1C21" w14:textId="2BBA178C" w:rsidR="00EC1D72" w:rsidRPr="00781F4C" w:rsidRDefault="00EC1D72" w:rsidP="009060B5">
            <w:pPr>
              <w:keepNext/>
              <w:tabs>
                <w:tab w:val="left" w:pos="3142"/>
              </w:tabs>
              <w:jc w:val="center"/>
              <w:rPr>
                <w:rFonts w:eastAsia="Calibri"/>
                <w:sz w:val="16"/>
                <w:szCs w:val="16"/>
                <w:lang w:val="en-GB"/>
              </w:rPr>
            </w:pPr>
            <w:r w:rsidRPr="00781F4C">
              <w:rPr>
                <w:rFonts w:eastAsia="Calibri"/>
                <w:sz w:val="16"/>
                <w:szCs w:val="16"/>
                <w:lang w:val="en-GB"/>
              </w:rPr>
              <w:t>LF</w:t>
            </w:r>
            <w:r w:rsidR="00FE7A30" w:rsidRPr="00781F4C">
              <w:rPr>
                <w:rFonts w:eastAsia="Calibri"/>
                <w:sz w:val="16"/>
                <w:szCs w:val="16"/>
                <w:lang w:val="en-GB"/>
              </w:rPr>
              <w:t>R</w:t>
            </w:r>
          </w:p>
        </w:tc>
        <w:tc>
          <w:tcPr>
            <w:tcW w:w="1620" w:type="dxa"/>
            <w:tcBorders>
              <w:bottom w:val="single" w:sz="12" w:space="0" w:color="auto"/>
            </w:tcBorders>
            <w:vAlign w:val="center"/>
          </w:tcPr>
          <w:p w14:paraId="39AFDB5B" w14:textId="77777777" w:rsidR="00EC1D72" w:rsidRPr="00781F4C" w:rsidRDefault="00EC1D72" w:rsidP="009060B5">
            <w:pPr>
              <w:keepNext/>
              <w:tabs>
                <w:tab w:val="left" w:pos="3142"/>
              </w:tabs>
              <w:jc w:val="center"/>
              <w:rPr>
                <w:rFonts w:eastAsia="Calibri"/>
                <w:sz w:val="16"/>
                <w:szCs w:val="16"/>
              </w:rPr>
            </w:pPr>
            <w:r w:rsidRPr="00781F4C">
              <w:rPr>
                <w:rFonts w:eastAsia="Calibri"/>
                <w:sz w:val="16"/>
                <w:szCs w:val="16"/>
                <w:lang w:val="en-GB"/>
              </w:rPr>
              <w:t>-2.454</w:t>
            </w:r>
            <w:r w:rsidRPr="00781F4C">
              <w:rPr>
                <w:rFonts w:eastAsia="Calibri"/>
                <w:sz w:val="16"/>
                <w:szCs w:val="16"/>
                <w:vertAlign w:val="superscript"/>
                <w:lang w:val="en-GB"/>
              </w:rPr>
              <w:t>**</w:t>
            </w:r>
            <w:r w:rsidRPr="00781F4C">
              <w:rPr>
                <w:rFonts w:eastAsia="Calibri"/>
                <w:sz w:val="16"/>
                <w:szCs w:val="16"/>
                <w:vertAlign w:val="superscript"/>
              </w:rPr>
              <w:t>*</w:t>
            </w:r>
          </w:p>
        </w:tc>
      </w:tr>
      <w:tr w:rsidR="00E70133" w:rsidRPr="00781F4C" w14:paraId="4D90C3D3" w14:textId="77777777" w:rsidTr="009060B5">
        <w:tc>
          <w:tcPr>
            <w:tcW w:w="9378" w:type="dxa"/>
            <w:gridSpan w:val="5"/>
            <w:vAlign w:val="center"/>
          </w:tcPr>
          <w:p w14:paraId="3EAFA5B1" w14:textId="206AD73E" w:rsidR="00E70133" w:rsidRPr="00781F4C" w:rsidRDefault="00E70133" w:rsidP="009060B5">
            <w:pPr>
              <w:keepNext/>
              <w:tabs>
                <w:tab w:val="left" w:pos="3142"/>
              </w:tabs>
              <w:rPr>
                <w:rFonts w:eastAsia="Calibri"/>
                <w:sz w:val="16"/>
                <w:szCs w:val="16"/>
                <w:lang w:val="en-GB"/>
              </w:rPr>
            </w:pPr>
            <w:r w:rsidRPr="00781F4C">
              <w:rPr>
                <w:rFonts w:eastAsia="Calibri"/>
                <w:sz w:val="16"/>
                <w:szCs w:val="16"/>
                <w:lang w:val="en-GB"/>
              </w:rPr>
              <w:t>Notes: Significant critical values without trends -2.11, -2.20, -2.38 respectively for levels 10</w:t>
            </w:r>
            <w:r w:rsidRPr="00781F4C">
              <w:rPr>
                <w:rFonts w:asciiTheme="majorBidi" w:hAnsiTheme="majorBidi" w:cstheme="majorBidi"/>
                <w:sz w:val="16"/>
                <w:szCs w:val="16"/>
              </w:rPr>
              <w:t>%</w:t>
            </w:r>
            <w:r w:rsidRPr="00781F4C">
              <w:rPr>
                <w:rFonts w:eastAsia="Calibri"/>
                <w:sz w:val="16"/>
                <w:szCs w:val="16"/>
                <w:lang w:val="en-GB"/>
              </w:rPr>
              <w:t>, 5</w:t>
            </w:r>
            <w:r w:rsidRPr="00781F4C">
              <w:rPr>
                <w:rFonts w:asciiTheme="majorBidi" w:hAnsiTheme="majorBidi" w:cstheme="majorBidi"/>
                <w:sz w:val="16"/>
                <w:szCs w:val="16"/>
              </w:rPr>
              <w:t>%</w:t>
            </w:r>
            <w:r w:rsidRPr="00781F4C">
              <w:rPr>
                <w:rFonts w:eastAsia="Calibri"/>
                <w:sz w:val="16"/>
                <w:szCs w:val="16"/>
                <w:lang w:val="en-GB"/>
              </w:rPr>
              <w:t>, 1</w:t>
            </w:r>
            <w:r w:rsidRPr="00781F4C">
              <w:rPr>
                <w:rFonts w:asciiTheme="majorBidi" w:hAnsiTheme="majorBidi" w:cstheme="majorBidi"/>
                <w:sz w:val="16"/>
                <w:szCs w:val="16"/>
              </w:rPr>
              <w:t>%</w:t>
            </w:r>
            <w:r w:rsidR="002B7175" w:rsidRPr="00781F4C">
              <w:rPr>
                <w:rFonts w:eastAsia="Calibri"/>
                <w:sz w:val="16"/>
                <w:szCs w:val="16"/>
                <w:lang w:val="en-GB"/>
              </w:rPr>
              <w:t>;</w:t>
            </w:r>
            <w:r w:rsidRPr="00781F4C">
              <w:rPr>
                <w:rFonts w:eastAsia="Calibri"/>
                <w:sz w:val="16"/>
                <w:szCs w:val="16"/>
                <w:lang w:val="en-GB"/>
              </w:rPr>
              <w:t xml:space="preserve"> Significant critical values with trends -2.63, -2.72, -2.88 respectively for levels 10</w:t>
            </w:r>
            <w:r w:rsidRPr="00781F4C">
              <w:rPr>
                <w:rFonts w:asciiTheme="majorBidi" w:hAnsiTheme="majorBidi" w:cstheme="majorBidi"/>
                <w:sz w:val="16"/>
                <w:szCs w:val="16"/>
              </w:rPr>
              <w:t>%</w:t>
            </w:r>
            <w:r w:rsidRPr="00781F4C">
              <w:rPr>
                <w:rFonts w:eastAsia="Calibri"/>
                <w:sz w:val="16"/>
                <w:szCs w:val="16"/>
                <w:lang w:val="en-GB"/>
              </w:rPr>
              <w:t>, 5</w:t>
            </w:r>
            <w:r w:rsidRPr="00781F4C">
              <w:rPr>
                <w:rFonts w:asciiTheme="majorBidi" w:hAnsiTheme="majorBidi" w:cstheme="majorBidi"/>
                <w:sz w:val="16"/>
                <w:szCs w:val="16"/>
              </w:rPr>
              <w:t>%</w:t>
            </w:r>
            <w:r w:rsidRPr="00781F4C">
              <w:rPr>
                <w:rFonts w:eastAsia="Calibri"/>
                <w:sz w:val="16"/>
                <w:szCs w:val="16"/>
                <w:lang w:val="en-GB"/>
              </w:rPr>
              <w:t>, 1</w:t>
            </w:r>
            <w:r w:rsidRPr="00781F4C">
              <w:rPr>
                <w:rFonts w:asciiTheme="majorBidi" w:hAnsiTheme="majorBidi" w:cstheme="majorBidi"/>
                <w:sz w:val="16"/>
                <w:szCs w:val="16"/>
              </w:rPr>
              <w:t>%.</w:t>
            </w:r>
          </w:p>
          <w:p w14:paraId="73743E8E" w14:textId="77777777" w:rsidR="00E70133" w:rsidRPr="00781F4C" w:rsidRDefault="00E70133" w:rsidP="009060B5">
            <w:pPr>
              <w:keepNext/>
              <w:tabs>
                <w:tab w:val="left" w:pos="3142"/>
              </w:tabs>
              <w:rPr>
                <w:rFonts w:eastAsia="Calibri"/>
                <w:sz w:val="20"/>
                <w:szCs w:val="20"/>
                <w:lang w:val="en-GB"/>
              </w:rPr>
            </w:pPr>
          </w:p>
        </w:tc>
      </w:tr>
    </w:tbl>
    <w:p w14:paraId="510B705F" w14:textId="292ADBAC" w:rsidR="009D639C" w:rsidRPr="00781F4C" w:rsidRDefault="001055FC" w:rsidP="006D2EBD">
      <w:pPr>
        <w:ind w:firstLine="284"/>
        <w:jc w:val="both"/>
        <w:rPr>
          <w:sz w:val="20"/>
          <w:szCs w:val="20"/>
          <w:lang w:val="en-US"/>
        </w:rPr>
      </w:pPr>
      <w:r w:rsidRPr="00781F4C">
        <w:rPr>
          <w:sz w:val="20"/>
          <w:szCs w:val="20"/>
          <w:lang w:val="en-US"/>
        </w:rPr>
        <w:t>The results of the panel unit root test in the previous section show that the variables are stationary in the first-order difference. Thus, the cointegration test can be used to check long-term relationships between variables (Al-</w:t>
      </w:r>
      <w:proofErr w:type="spellStart"/>
      <w:r w:rsidRPr="00781F4C">
        <w:rPr>
          <w:sz w:val="20"/>
          <w:szCs w:val="20"/>
          <w:lang w:val="en-US"/>
        </w:rPr>
        <w:t>Mu</w:t>
      </w:r>
      <w:r w:rsidR="00CA3DDC" w:rsidRPr="00781F4C">
        <w:rPr>
          <w:sz w:val="20"/>
          <w:szCs w:val="20"/>
          <w:lang w:val="en-US"/>
        </w:rPr>
        <w:t>lali</w:t>
      </w:r>
      <w:proofErr w:type="spellEnd"/>
      <w:r w:rsidR="00CA3DDC" w:rsidRPr="00781F4C">
        <w:rPr>
          <w:sz w:val="20"/>
          <w:szCs w:val="20"/>
          <w:lang w:val="en-US"/>
        </w:rPr>
        <w:t xml:space="preserve"> and Ozturk</w:t>
      </w:r>
      <w:r w:rsidR="00FC5964" w:rsidRPr="00781F4C">
        <w:rPr>
          <w:sz w:val="20"/>
          <w:szCs w:val="20"/>
          <w:lang w:val="en-US"/>
        </w:rPr>
        <w:t>,</w:t>
      </w:r>
      <w:r w:rsidRPr="00781F4C">
        <w:rPr>
          <w:sz w:val="20"/>
          <w:szCs w:val="20"/>
          <w:lang w:val="en-US"/>
        </w:rPr>
        <w:t xml:space="preserve"> 2016). The </w:t>
      </w:r>
      <w:proofErr w:type="spellStart"/>
      <w:r w:rsidRPr="00781F4C">
        <w:rPr>
          <w:sz w:val="20"/>
          <w:szCs w:val="20"/>
          <w:lang w:val="en-US"/>
        </w:rPr>
        <w:t>Pedrony</w:t>
      </w:r>
      <w:proofErr w:type="spellEnd"/>
      <w:r w:rsidRPr="00781F4C">
        <w:rPr>
          <w:sz w:val="20"/>
          <w:szCs w:val="20"/>
          <w:lang w:val="en-US"/>
        </w:rPr>
        <w:t xml:space="preserve"> (1999) and Kao (1999) cointegration tests are used to examine long-term relationships in this study. </w:t>
      </w:r>
      <w:r w:rsidR="00436630" w:rsidRPr="00781F4C">
        <w:rPr>
          <w:sz w:val="20"/>
          <w:szCs w:val="20"/>
          <w:lang w:val="en-US"/>
        </w:rPr>
        <w:t>The n</w:t>
      </w:r>
      <w:r w:rsidR="00A1202D" w:rsidRPr="00781F4C">
        <w:rPr>
          <w:sz w:val="20"/>
          <w:szCs w:val="20"/>
          <w:lang w:val="en-US"/>
        </w:rPr>
        <w:t xml:space="preserve">ull hypothesis in </w:t>
      </w:r>
      <w:r w:rsidR="008E08A5" w:rsidRPr="00781F4C">
        <w:rPr>
          <w:sz w:val="20"/>
          <w:szCs w:val="20"/>
          <w:lang w:val="en-US"/>
        </w:rPr>
        <w:t>both</w:t>
      </w:r>
      <w:r w:rsidR="00A1202D" w:rsidRPr="00781F4C">
        <w:rPr>
          <w:sz w:val="20"/>
          <w:szCs w:val="20"/>
          <w:lang w:val="en-US"/>
        </w:rPr>
        <w:t xml:space="preserve"> tests is the absence </w:t>
      </w:r>
      <w:r w:rsidRPr="00781F4C">
        <w:rPr>
          <w:sz w:val="20"/>
          <w:szCs w:val="20"/>
          <w:lang w:val="en-US"/>
        </w:rPr>
        <w:t xml:space="preserve">of cointegration. The results of the </w:t>
      </w:r>
      <w:proofErr w:type="spellStart"/>
      <w:r w:rsidRPr="00781F4C">
        <w:rPr>
          <w:sz w:val="20"/>
          <w:szCs w:val="20"/>
          <w:lang w:val="en-US"/>
        </w:rPr>
        <w:t>Pedrony</w:t>
      </w:r>
      <w:proofErr w:type="spellEnd"/>
      <w:r w:rsidRPr="00781F4C">
        <w:rPr>
          <w:sz w:val="20"/>
          <w:szCs w:val="20"/>
          <w:lang w:val="en-US"/>
        </w:rPr>
        <w:t xml:space="preserve"> and Kao tests (see</w:t>
      </w:r>
      <w:r w:rsidR="00A1202D" w:rsidRPr="00781F4C">
        <w:rPr>
          <w:sz w:val="20"/>
          <w:szCs w:val="20"/>
          <w:lang w:val="en-US"/>
        </w:rPr>
        <w:t xml:space="preserve"> Table 6</w:t>
      </w:r>
      <w:r w:rsidRPr="00781F4C">
        <w:rPr>
          <w:sz w:val="20"/>
          <w:szCs w:val="20"/>
          <w:lang w:val="en-US"/>
        </w:rPr>
        <w:t xml:space="preserve">) show that </w:t>
      </w:r>
      <w:r w:rsidR="00A1202D" w:rsidRPr="00781F4C">
        <w:rPr>
          <w:sz w:val="20"/>
          <w:szCs w:val="20"/>
          <w:lang w:val="en-US"/>
        </w:rPr>
        <w:t xml:space="preserve">the null </w:t>
      </w:r>
      <w:r w:rsidR="008E08A5" w:rsidRPr="00781F4C">
        <w:rPr>
          <w:sz w:val="20"/>
          <w:szCs w:val="20"/>
          <w:lang w:val="en-US"/>
        </w:rPr>
        <w:t xml:space="preserve">hypothesis </w:t>
      </w:r>
      <w:r w:rsidRPr="00781F4C">
        <w:rPr>
          <w:sz w:val="20"/>
          <w:szCs w:val="20"/>
          <w:lang w:val="en-US"/>
        </w:rPr>
        <w:t>is rejected. Therefore, there is a long-run equilibrium relationship between ecological footprint (EFP) and explanatory variables.</w:t>
      </w:r>
    </w:p>
    <w:p w14:paraId="0C1F5232" w14:textId="77777777" w:rsidR="001055FC" w:rsidRPr="00781F4C" w:rsidRDefault="001055FC" w:rsidP="001055FC">
      <w:pPr>
        <w:jc w:val="both"/>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420"/>
        <w:gridCol w:w="876"/>
        <w:gridCol w:w="2850"/>
        <w:gridCol w:w="1256"/>
        <w:gridCol w:w="978"/>
      </w:tblGrid>
      <w:tr w:rsidR="005737CD" w:rsidRPr="00781F4C" w14:paraId="1B801C40" w14:textId="77777777" w:rsidTr="00CF6916">
        <w:tc>
          <w:tcPr>
            <w:tcW w:w="9360" w:type="dxa"/>
            <w:gridSpan w:val="6"/>
            <w:tcBorders>
              <w:bottom w:val="single" w:sz="24" w:space="0" w:color="auto"/>
            </w:tcBorders>
          </w:tcPr>
          <w:p w14:paraId="3EE2BD2C" w14:textId="77777777" w:rsidR="00923AE2" w:rsidRPr="00781F4C" w:rsidRDefault="00923AE2" w:rsidP="00CF6916">
            <w:pPr>
              <w:jc w:val="both"/>
              <w:rPr>
                <w:i/>
                <w:iCs/>
                <w:sz w:val="18"/>
                <w:szCs w:val="18"/>
                <w:lang w:val="en-US"/>
              </w:rPr>
            </w:pPr>
            <w:r w:rsidRPr="00781F4C">
              <w:rPr>
                <w:rFonts w:asciiTheme="majorBidi" w:hAnsiTheme="majorBidi" w:cstheme="majorBidi"/>
                <w:i/>
                <w:iCs/>
                <w:sz w:val="18"/>
                <w:szCs w:val="18"/>
                <w:lang w:val="en-US" w:bidi="fa-IR"/>
              </w:rPr>
              <w:t xml:space="preserve">Table 6. Kao and </w:t>
            </w:r>
            <w:proofErr w:type="spellStart"/>
            <w:r w:rsidRPr="00781F4C">
              <w:rPr>
                <w:rFonts w:asciiTheme="majorBidi" w:hAnsiTheme="majorBidi" w:cstheme="majorBidi"/>
                <w:i/>
                <w:iCs/>
                <w:sz w:val="18"/>
                <w:szCs w:val="18"/>
                <w:lang w:val="en-US" w:bidi="fa-IR"/>
              </w:rPr>
              <w:t>Pederoni</w:t>
            </w:r>
            <w:proofErr w:type="spellEnd"/>
            <w:r w:rsidRPr="00781F4C">
              <w:rPr>
                <w:rFonts w:asciiTheme="majorBidi" w:hAnsiTheme="majorBidi" w:cstheme="majorBidi"/>
                <w:i/>
                <w:iCs/>
                <w:sz w:val="18"/>
                <w:szCs w:val="18"/>
                <w:lang w:val="en-US" w:bidi="fa-IR"/>
              </w:rPr>
              <w:t xml:space="preserve"> cointegration test</w:t>
            </w:r>
          </w:p>
        </w:tc>
      </w:tr>
      <w:tr w:rsidR="005737CD" w:rsidRPr="00781F4C" w14:paraId="33358D93" w14:textId="77777777" w:rsidTr="00CF6916">
        <w:tc>
          <w:tcPr>
            <w:tcW w:w="4276" w:type="dxa"/>
            <w:gridSpan w:val="3"/>
            <w:tcBorders>
              <w:top w:val="single" w:sz="24" w:space="0" w:color="auto"/>
              <w:bottom w:val="single" w:sz="6" w:space="0" w:color="auto"/>
              <w:right w:val="single" w:sz="12" w:space="0" w:color="auto"/>
            </w:tcBorders>
          </w:tcPr>
          <w:p w14:paraId="1CC87FDF" w14:textId="77777777" w:rsidR="00923AE2" w:rsidRPr="00781F4C" w:rsidRDefault="00923AE2" w:rsidP="00CF6916">
            <w:pPr>
              <w:jc w:val="center"/>
              <w:rPr>
                <w:i/>
                <w:iCs/>
                <w:sz w:val="16"/>
                <w:szCs w:val="16"/>
                <w:lang w:val="en-US"/>
              </w:rPr>
            </w:pPr>
            <w:r w:rsidRPr="00781F4C">
              <w:rPr>
                <w:rFonts w:asciiTheme="majorBidi" w:hAnsiTheme="majorBidi" w:cstheme="majorBidi"/>
                <w:i/>
                <w:iCs/>
                <w:sz w:val="16"/>
                <w:szCs w:val="16"/>
                <w:lang w:val="en-US" w:bidi="fa-IR"/>
              </w:rPr>
              <w:t>Kao cointegration test</w:t>
            </w:r>
          </w:p>
        </w:tc>
        <w:tc>
          <w:tcPr>
            <w:tcW w:w="5084" w:type="dxa"/>
            <w:gridSpan w:val="3"/>
            <w:tcBorders>
              <w:top w:val="single" w:sz="24" w:space="0" w:color="auto"/>
              <w:left w:val="single" w:sz="12" w:space="0" w:color="auto"/>
              <w:bottom w:val="single" w:sz="6" w:space="0" w:color="auto"/>
            </w:tcBorders>
          </w:tcPr>
          <w:p w14:paraId="52DE3F77" w14:textId="77777777" w:rsidR="00923AE2" w:rsidRPr="00781F4C" w:rsidRDefault="00923AE2" w:rsidP="00CF6916">
            <w:pPr>
              <w:jc w:val="center"/>
              <w:rPr>
                <w:i/>
                <w:iCs/>
                <w:sz w:val="16"/>
                <w:szCs w:val="16"/>
                <w:lang w:val="en-US"/>
              </w:rPr>
            </w:pPr>
            <w:r w:rsidRPr="00781F4C">
              <w:rPr>
                <w:rFonts w:asciiTheme="majorBidi" w:hAnsiTheme="majorBidi" w:cstheme="majorBidi"/>
                <w:i/>
                <w:iCs/>
                <w:sz w:val="16"/>
                <w:szCs w:val="16"/>
                <w:lang w:val="en-US"/>
              </w:rPr>
              <w:t>Pedroni cointegration test</w:t>
            </w:r>
          </w:p>
        </w:tc>
      </w:tr>
      <w:tr w:rsidR="005737CD" w:rsidRPr="00781F4C" w14:paraId="68BC2F92" w14:textId="77777777" w:rsidTr="00CF6916">
        <w:tc>
          <w:tcPr>
            <w:tcW w:w="1980" w:type="dxa"/>
            <w:tcBorders>
              <w:top w:val="single" w:sz="6" w:space="0" w:color="auto"/>
              <w:bottom w:val="single" w:sz="6" w:space="0" w:color="auto"/>
            </w:tcBorders>
          </w:tcPr>
          <w:p w14:paraId="288515F9" w14:textId="77777777" w:rsidR="00923AE2" w:rsidRPr="00781F4C" w:rsidRDefault="00923AE2" w:rsidP="00CF6916">
            <w:pPr>
              <w:jc w:val="center"/>
              <w:rPr>
                <w:i/>
                <w:iCs/>
                <w:sz w:val="16"/>
                <w:szCs w:val="16"/>
                <w:lang w:val="en-US"/>
              </w:rPr>
            </w:pPr>
            <w:r w:rsidRPr="00781F4C">
              <w:rPr>
                <w:rFonts w:asciiTheme="majorBidi" w:hAnsiTheme="majorBidi" w:cstheme="majorBidi"/>
                <w:i/>
                <w:iCs/>
                <w:sz w:val="16"/>
                <w:szCs w:val="16"/>
                <w:lang w:val="en-US" w:bidi="fa-IR"/>
              </w:rPr>
              <w:t>Estimators</w:t>
            </w:r>
          </w:p>
        </w:tc>
        <w:tc>
          <w:tcPr>
            <w:tcW w:w="1420" w:type="dxa"/>
            <w:tcBorders>
              <w:top w:val="single" w:sz="6" w:space="0" w:color="auto"/>
              <w:bottom w:val="single" w:sz="6" w:space="0" w:color="auto"/>
            </w:tcBorders>
          </w:tcPr>
          <w:p w14:paraId="14A8B592" w14:textId="77777777" w:rsidR="00923AE2" w:rsidRPr="00781F4C" w:rsidRDefault="00923AE2" w:rsidP="00CF6916">
            <w:pPr>
              <w:jc w:val="center"/>
              <w:rPr>
                <w:i/>
                <w:iCs/>
                <w:sz w:val="16"/>
                <w:szCs w:val="16"/>
                <w:lang w:val="en-US"/>
              </w:rPr>
            </w:pPr>
            <w:r w:rsidRPr="00781F4C">
              <w:rPr>
                <w:rFonts w:asciiTheme="majorBidi" w:hAnsiTheme="majorBidi" w:cstheme="majorBidi"/>
                <w:i/>
                <w:iCs/>
                <w:sz w:val="16"/>
                <w:szCs w:val="16"/>
                <w:lang w:val="en-US" w:bidi="fa-IR"/>
              </w:rPr>
              <w:t>t-Statistic</w:t>
            </w:r>
          </w:p>
        </w:tc>
        <w:tc>
          <w:tcPr>
            <w:tcW w:w="876" w:type="dxa"/>
            <w:tcBorders>
              <w:top w:val="single" w:sz="6" w:space="0" w:color="auto"/>
              <w:bottom w:val="single" w:sz="6" w:space="0" w:color="auto"/>
              <w:right w:val="single" w:sz="12" w:space="0" w:color="auto"/>
            </w:tcBorders>
          </w:tcPr>
          <w:p w14:paraId="274A59CA" w14:textId="77777777" w:rsidR="00923AE2" w:rsidRPr="00781F4C" w:rsidRDefault="00923AE2" w:rsidP="00CF6916">
            <w:pPr>
              <w:jc w:val="center"/>
              <w:rPr>
                <w:i/>
                <w:iCs/>
                <w:sz w:val="16"/>
                <w:szCs w:val="16"/>
                <w:lang w:val="en-US"/>
              </w:rPr>
            </w:pPr>
            <w:r w:rsidRPr="00781F4C">
              <w:rPr>
                <w:rFonts w:asciiTheme="majorBidi" w:hAnsiTheme="majorBidi" w:cstheme="majorBidi"/>
                <w:i/>
                <w:iCs/>
                <w:sz w:val="16"/>
                <w:szCs w:val="16"/>
                <w:lang w:val="en-US" w:bidi="fa-IR"/>
              </w:rPr>
              <w:t>Prob.</w:t>
            </w:r>
          </w:p>
        </w:tc>
        <w:tc>
          <w:tcPr>
            <w:tcW w:w="2850" w:type="dxa"/>
            <w:tcBorders>
              <w:top w:val="single" w:sz="6" w:space="0" w:color="auto"/>
              <w:left w:val="single" w:sz="12" w:space="0" w:color="auto"/>
              <w:bottom w:val="single" w:sz="6" w:space="0" w:color="auto"/>
            </w:tcBorders>
          </w:tcPr>
          <w:p w14:paraId="6A635340" w14:textId="77777777" w:rsidR="00923AE2" w:rsidRPr="00781F4C" w:rsidRDefault="00923AE2" w:rsidP="00CF6916">
            <w:pPr>
              <w:jc w:val="center"/>
              <w:rPr>
                <w:i/>
                <w:iCs/>
                <w:sz w:val="16"/>
                <w:szCs w:val="16"/>
                <w:lang w:val="en-US"/>
              </w:rPr>
            </w:pPr>
            <w:r w:rsidRPr="00781F4C">
              <w:rPr>
                <w:rFonts w:asciiTheme="majorBidi" w:hAnsiTheme="majorBidi" w:cstheme="majorBidi"/>
                <w:i/>
                <w:iCs/>
                <w:sz w:val="16"/>
                <w:szCs w:val="16"/>
                <w:lang w:val="en-US" w:bidi="fa-IR"/>
              </w:rPr>
              <w:t>Estimators</w:t>
            </w:r>
          </w:p>
        </w:tc>
        <w:tc>
          <w:tcPr>
            <w:tcW w:w="1256" w:type="dxa"/>
            <w:tcBorders>
              <w:top w:val="single" w:sz="6" w:space="0" w:color="auto"/>
              <w:bottom w:val="single" w:sz="6" w:space="0" w:color="auto"/>
            </w:tcBorders>
          </w:tcPr>
          <w:p w14:paraId="7F7DB947" w14:textId="77777777" w:rsidR="00923AE2" w:rsidRPr="00781F4C" w:rsidRDefault="00923AE2" w:rsidP="00CF6916">
            <w:pPr>
              <w:jc w:val="center"/>
              <w:rPr>
                <w:i/>
                <w:iCs/>
                <w:sz w:val="16"/>
                <w:szCs w:val="16"/>
                <w:lang w:val="en-US"/>
              </w:rPr>
            </w:pPr>
            <w:r w:rsidRPr="00781F4C">
              <w:rPr>
                <w:rFonts w:asciiTheme="majorBidi" w:hAnsiTheme="majorBidi" w:cstheme="majorBidi"/>
                <w:i/>
                <w:iCs/>
                <w:sz w:val="16"/>
                <w:szCs w:val="16"/>
                <w:lang w:val="en-US" w:bidi="fa-IR"/>
              </w:rPr>
              <w:t>t-Statistic</w:t>
            </w:r>
          </w:p>
        </w:tc>
        <w:tc>
          <w:tcPr>
            <w:tcW w:w="978" w:type="dxa"/>
            <w:tcBorders>
              <w:top w:val="single" w:sz="6" w:space="0" w:color="auto"/>
              <w:bottom w:val="single" w:sz="6" w:space="0" w:color="auto"/>
            </w:tcBorders>
          </w:tcPr>
          <w:p w14:paraId="1539E2BD" w14:textId="77777777" w:rsidR="00923AE2" w:rsidRPr="00781F4C" w:rsidRDefault="00923AE2" w:rsidP="00CF6916">
            <w:pPr>
              <w:jc w:val="center"/>
              <w:rPr>
                <w:i/>
                <w:iCs/>
                <w:sz w:val="16"/>
                <w:szCs w:val="16"/>
                <w:lang w:val="en-US"/>
              </w:rPr>
            </w:pPr>
            <w:r w:rsidRPr="00781F4C">
              <w:rPr>
                <w:rFonts w:asciiTheme="majorBidi" w:hAnsiTheme="majorBidi" w:cstheme="majorBidi"/>
                <w:i/>
                <w:iCs/>
                <w:sz w:val="16"/>
                <w:szCs w:val="16"/>
                <w:lang w:val="en-US" w:bidi="fa-IR"/>
              </w:rPr>
              <w:t>Prob.</w:t>
            </w:r>
          </w:p>
        </w:tc>
      </w:tr>
      <w:tr w:rsidR="005737CD" w:rsidRPr="00781F4C" w14:paraId="1266C384" w14:textId="77777777" w:rsidTr="00CF6916">
        <w:tc>
          <w:tcPr>
            <w:tcW w:w="1980" w:type="dxa"/>
            <w:tcBorders>
              <w:top w:val="single" w:sz="6" w:space="0" w:color="auto"/>
              <w:bottom w:val="dashed" w:sz="4" w:space="0" w:color="auto"/>
            </w:tcBorders>
          </w:tcPr>
          <w:p w14:paraId="1679D5C0" w14:textId="77777777" w:rsidR="00923AE2" w:rsidRPr="00781F4C" w:rsidRDefault="00923AE2" w:rsidP="00CF6916">
            <w:pPr>
              <w:jc w:val="both"/>
              <w:rPr>
                <w:sz w:val="16"/>
                <w:szCs w:val="16"/>
                <w:lang w:val="en-US"/>
              </w:rPr>
            </w:pPr>
            <w:r w:rsidRPr="00781F4C">
              <w:rPr>
                <w:rFonts w:asciiTheme="majorBidi" w:hAnsiTheme="majorBidi" w:cstheme="majorBidi"/>
                <w:sz w:val="16"/>
                <w:szCs w:val="16"/>
                <w:lang w:val="en-US" w:bidi="fa-IR"/>
              </w:rPr>
              <w:t>ADF</w:t>
            </w:r>
          </w:p>
        </w:tc>
        <w:tc>
          <w:tcPr>
            <w:tcW w:w="1420" w:type="dxa"/>
            <w:tcBorders>
              <w:top w:val="single" w:sz="6" w:space="0" w:color="auto"/>
              <w:bottom w:val="dashed" w:sz="4" w:space="0" w:color="auto"/>
            </w:tcBorders>
          </w:tcPr>
          <w:p w14:paraId="5B09D4D4" w14:textId="72E62F63" w:rsidR="00923AE2" w:rsidRPr="00781F4C" w:rsidRDefault="007321A7" w:rsidP="00CF6621">
            <w:pPr>
              <w:jc w:val="center"/>
              <w:rPr>
                <w:sz w:val="16"/>
                <w:szCs w:val="16"/>
                <w:lang w:val="en-US"/>
              </w:rPr>
            </w:pPr>
            <w:r w:rsidRPr="00781F4C">
              <w:rPr>
                <w:rFonts w:asciiTheme="majorBidi" w:hAnsiTheme="majorBidi" w:cstheme="majorBidi"/>
                <w:sz w:val="16"/>
                <w:szCs w:val="16"/>
                <w:lang w:val="en-US" w:bidi="fa-IR"/>
              </w:rPr>
              <w:t>-4</w:t>
            </w:r>
            <w:r w:rsidR="00923AE2" w:rsidRPr="00781F4C">
              <w:rPr>
                <w:rFonts w:asciiTheme="majorBidi" w:hAnsiTheme="majorBidi" w:cstheme="majorBidi"/>
                <w:sz w:val="16"/>
                <w:szCs w:val="16"/>
                <w:lang w:val="en-US" w:bidi="fa-IR"/>
              </w:rPr>
              <w:t>.3062</w:t>
            </w:r>
          </w:p>
        </w:tc>
        <w:tc>
          <w:tcPr>
            <w:tcW w:w="876" w:type="dxa"/>
            <w:tcBorders>
              <w:top w:val="single" w:sz="6" w:space="0" w:color="auto"/>
              <w:bottom w:val="dashed" w:sz="4" w:space="0" w:color="auto"/>
              <w:right w:val="single" w:sz="12" w:space="0" w:color="auto"/>
            </w:tcBorders>
          </w:tcPr>
          <w:p w14:paraId="2336BE0E" w14:textId="77777777" w:rsidR="00923AE2" w:rsidRPr="00781F4C" w:rsidRDefault="00923AE2" w:rsidP="00CF6621">
            <w:pPr>
              <w:jc w:val="center"/>
              <w:rPr>
                <w:sz w:val="16"/>
                <w:szCs w:val="16"/>
                <w:lang w:val="en-US"/>
              </w:rPr>
            </w:pPr>
            <w:r w:rsidRPr="00781F4C">
              <w:rPr>
                <w:rFonts w:asciiTheme="majorBidi" w:hAnsiTheme="majorBidi" w:cstheme="majorBidi"/>
                <w:sz w:val="16"/>
                <w:szCs w:val="16"/>
                <w:lang w:val="en-US" w:bidi="fa-IR"/>
              </w:rPr>
              <w:t>0.0000</w:t>
            </w:r>
          </w:p>
        </w:tc>
        <w:tc>
          <w:tcPr>
            <w:tcW w:w="2850" w:type="dxa"/>
            <w:tcBorders>
              <w:top w:val="single" w:sz="6" w:space="0" w:color="auto"/>
              <w:left w:val="single" w:sz="12" w:space="0" w:color="auto"/>
              <w:bottom w:val="dashed" w:sz="4" w:space="0" w:color="auto"/>
            </w:tcBorders>
          </w:tcPr>
          <w:p w14:paraId="0625EE4A" w14:textId="77777777" w:rsidR="00923AE2" w:rsidRPr="00781F4C" w:rsidRDefault="00923AE2" w:rsidP="00CF6916">
            <w:pPr>
              <w:rPr>
                <w:sz w:val="16"/>
                <w:szCs w:val="16"/>
                <w:lang w:val="en-US"/>
              </w:rPr>
            </w:pPr>
            <w:r w:rsidRPr="00781F4C">
              <w:rPr>
                <w:rFonts w:asciiTheme="majorBidi" w:hAnsiTheme="majorBidi" w:cstheme="majorBidi"/>
                <w:sz w:val="16"/>
                <w:szCs w:val="16"/>
                <w:lang w:val="en-US"/>
              </w:rPr>
              <w:t>Modified Phillips-Perron t</w:t>
            </w:r>
          </w:p>
        </w:tc>
        <w:tc>
          <w:tcPr>
            <w:tcW w:w="1256" w:type="dxa"/>
            <w:tcBorders>
              <w:top w:val="single" w:sz="6" w:space="0" w:color="auto"/>
              <w:bottom w:val="dashed" w:sz="4" w:space="0" w:color="auto"/>
            </w:tcBorders>
          </w:tcPr>
          <w:p w14:paraId="78334021" w14:textId="08A1FB22" w:rsidR="00923AE2" w:rsidRPr="00781F4C" w:rsidRDefault="007321A7" w:rsidP="00CF6621">
            <w:pPr>
              <w:jc w:val="center"/>
              <w:rPr>
                <w:sz w:val="16"/>
                <w:szCs w:val="16"/>
                <w:lang w:val="en-US"/>
              </w:rPr>
            </w:pPr>
            <w:r w:rsidRPr="00781F4C">
              <w:rPr>
                <w:rFonts w:asciiTheme="majorBidi" w:hAnsiTheme="majorBidi" w:cstheme="majorBidi"/>
                <w:sz w:val="16"/>
                <w:szCs w:val="16"/>
                <w:lang w:val="en-US"/>
              </w:rPr>
              <w:t>6.02</w:t>
            </w:r>
            <w:r w:rsidR="00923AE2" w:rsidRPr="00781F4C">
              <w:rPr>
                <w:rFonts w:asciiTheme="majorBidi" w:hAnsiTheme="majorBidi" w:cstheme="majorBidi"/>
                <w:sz w:val="16"/>
                <w:szCs w:val="16"/>
                <w:lang w:val="en-US"/>
              </w:rPr>
              <w:t>14</w:t>
            </w:r>
          </w:p>
        </w:tc>
        <w:tc>
          <w:tcPr>
            <w:tcW w:w="978" w:type="dxa"/>
            <w:tcBorders>
              <w:top w:val="single" w:sz="6" w:space="0" w:color="auto"/>
              <w:bottom w:val="dashed" w:sz="4" w:space="0" w:color="auto"/>
            </w:tcBorders>
          </w:tcPr>
          <w:p w14:paraId="61303B7B" w14:textId="77777777" w:rsidR="00923AE2" w:rsidRPr="00781F4C" w:rsidRDefault="00923AE2" w:rsidP="00CF6621">
            <w:pPr>
              <w:jc w:val="center"/>
              <w:rPr>
                <w:sz w:val="16"/>
                <w:szCs w:val="16"/>
                <w:lang w:val="en-US"/>
              </w:rPr>
            </w:pPr>
            <w:r w:rsidRPr="00781F4C">
              <w:rPr>
                <w:rFonts w:asciiTheme="majorBidi" w:hAnsiTheme="majorBidi" w:cstheme="majorBidi"/>
                <w:sz w:val="16"/>
                <w:szCs w:val="16"/>
                <w:lang w:val="en-US"/>
              </w:rPr>
              <w:t>0.0000</w:t>
            </w:r>
          </w:p>
        </w:tc>
      </w:tr>
      <w:tr w:rsidR="005737CD" w:rsidRPr="00781F4C" w14:paraId="31CBA919" w14:textId="77777777" w:rsidTr="00CF6916">
        <w:tc>
          <w:tcPr>
            <w:tcW w:w="1980" w:type="dxa"/>
            <w:tcBorders>
              <w:top w:val="dashed" w:sz="4" w:space="0" w:color="auto"/>
              <w:bottom w:val="dashed" w:sz="4" w:space="0" w:color="auto"/>
            </w:tcBorders>
          </w:tcPr>
          <w:p w14:paraId="0B674CAA" w14:textId="77777777" w:rsidR="00923AE2" w:rsidRPr="00781F4C" w:rsidRDefault="00923AE2" w:rsidP="00CF6916">
            <w:pPr>
              <w:jc w:val="both"/>
              <w:rPr>
                <w:sz w:val="16"/>
                <w:szCs w:val="16"/>
                <w:lang w:val="en-US"/>
              </w:rPr>
            </w:pPr>
            <w:r w:rsidRPr="00781F4C">
              <w:rPr>
                <w:rFonts w:asciiTheme="majorBidi" w:hAnsiTheme="majorBidi" w:cstheme="majorBidi"/>
                <w:sz w:val="16"/>
                <w:szCs w:val="16"/>
                <w:lang w:val="en-US" w:bidi="fa-IR"/>
              </w:rPr>
              <w:t>Residual variance</w:t>
            </w:r>
          </w:p>
        </w:tc>
        <w:tc>
          <w:tcPr>
            <w:tcW w:w="1420" w:type="dxa"/>
            <w:tcBorders>
              <w:top w:val="dashed" w:sz="4" w:space="0" w:color="auto"/>
              <w:bottom w:val="dashed" w:sz="4" w:space="0" w:color="auto"/>
            </w:tcBorders>
          </w:tcPr>
          <w:p w14:paraId="14F4C198" w14:textId="333F2E47" w:rsidR="00923AE2" w:rsidRPr="00781F4C" w:rsidRDefault="007321A7" w:rsidP="00CF6621">
            <w:pPr>
              <w:jc w:val="center"/>
              <w:rPr>
                <w:sz w:val="16"/>
                <w:szCs w:val="16"/>
                <w:lang w:val="en-US"/>
              </w:rPr>
            </w:pPr>
            <w:r w:rsidRPr="00781F4C">
              <w:rPr>
                <w:rFonts w:asciiTheme="majorBidi" w:hAnsiTheme="majorBidi" w:cstheme="majorBidi"/>
                <w:sz w:val="16"/>
                <w:szCs w:val="16"/>
                <w:lang w:val="en-US" w:bidi="fa-IR"/>
              </w:rPr>
              <w:t>0.000</w:t>
            </w:r>
            <w:r w:rsidR="00923AE2" w:rsidRPr="00781F4C">
              <w:rPr>
                <w:rFonts w:asciiTheme="majorBidi" w:hAnsiTheme="majorBidi" w:cstheme="majorBidi"/>
                <w:sz w:val="16"/>
                <w:szCs w:val="16"/>
                <w:lang w:val="en-US" w:bidi="fa-IR"/>
              </w:rPr>
              <w:t>64</w:t>
            </w:r>
          </w:p>
        </w:tc>
        <w:tc>
          <w:tcPr>
            <w:tcW w:w="876" w:type="dxa"/>
            <w:tcBorders>
              <w:top w:val="dashed" w:sz="4" w:space="0" w:color="auto"/>
              <w:bottom w:val="dashed" w:sz="4" w:space="0" w:color="auto"/>
              <w:right w:val="single" w:sz="12" w:space="0" w:color="auto"/>
            </w:tcBorders>
          </w:tcPr>
          <w:p w14:paraId="0CB3A1AA" w14:textId="77777777" w:rsidR="00923AE2" w:rsidRPr="00781F4C" w:rsidRDefault="00923AE2" w:rsidP="00CF6916">
            <w:pPr>
              <w:jc w:val="both"/>
              <w:rPr>
                <w:sz w:val="16"/>
                <w:szCs w:val="16"/>
                <w:lang w:val="en-US"/>
              </w:rPr>
            </w:pPr>
          </w:p>
        </w:tc>
        <w:tc>
          <w:tcPr>
            <w:tcW w:w="2850" w:type="dxa"/>
            <w:tcBorders>
              <w:top w:val="dashed" w:sz="4" w:space="0" w:color="auto"/>
              <w:left w:val="single" w:sz="12" w:space="0" w:color="auto"/>
              <w:bottom w:val="dashed" w:sz="4" w:space="0" w:color="auto"/>
            </w:tcBorders>
          </w:tcPr>
          <w:p w14:paraId="624DA822" w14:textId="77777777" w:rsidR="00923AE2" w:rsidRPr="00781F4C" w:rsidRDefault="00923AE2" w:rsidP="00CF6916">
            <w:pPr>
              <w:jc w:val="both"/>
              <w:rPr>
                <w:sz w:val="16"/>
                <w:szCs w:val="16"/>
                <w:lang w:val="en-US"/>
              </w:rPr>
            </w:pPr>
            <w:r w:rsidRPr="00781F4C">
              <w:rPr>
                <w:rFonts w:asciiTheme="majorBidi" w:hAnsiTheme="majorBidi" w:cstheme="majorBidi"/>
                <w:sz w:val="16"/>
                <w:szCs w:val="16"/>
                <w:lang w:val="en-US"/>
              </w:rPr>
              <w:t>Phillips-Perron t</w:t>
            </w:r>
          </w:p>
        </w:tc>
        <w:tc>
          <w:tcPr>
            <w:tcW w:w="1256" w:type="dxa"/>
            <w:tcBorders>
              <w:top w:val="dashed" w:sz="4" w:space="0" w:color="auto"/>
              <w:bottom w:val="dashed" w:sz="4" w:space="0" w:color="auto"/>
            </w:tcBorders>
          </w:tcPr>
          <w:p w14:paraId="58381517" w14:textId="0E978CED" w:rsidR="00923AE2" w:rsidRPr="00781F4C" w:rsidRDefault="007321A7" w:rsidP="00CF6621">
            <w:pPr>
              <w:jc w:val="center"/>
              <w:rPr>
                <w:sz w:val="16"/>
                <w:szCs w:val="16"/>
                <w:lang w:val="en-US"/>
              </w:rPr>
            </w:pPr>
            <w:r w:rsidRPr="00781F4C">
              <w:rPr>
                <w:rFonts w:asciiTheme="majorBidi" w:hAnsiTheme="majorBidi" w:cstheme="majorBidi"/>
                <w:sz w:val="16"/>
                <w:szCs w:val="16"/>
                <w:lang w:val="en-US"/>
              </w:rPr>
              <w:t>-10.8</w:t>
            </w:r>
            <w:r w:rsidR="00923AE2" w:rsidRPr="00781F4C">
              <w:rPr>
                <w:rFonts w:asciiTheme="majorBidi" w:hAnsiTheme="majorBidi" w:cstheme="majorBidi"/>
                <w:sz w:val="16"/>
                <w:szCs w:val="16"/>
                <w:lang w:val="en-US"/>
              </w:rPr>
              <w:t>530</w:t>
            </w:r>
          </w:p>
        </w:tc>
        <w:tc>
          <w:tcPr>
            <w:tcW w:w="978" w:type="dxa"/>
            <w:tcBorders>
              <w:top w:val="dashed" w:sz="4" w:space="0" w:color="auto"/>
              <w:bottom w:val="dashed" w:sz="4" w:space="0" w:color="auto"/>
            </w:tcBorders>
          </w:tcPr>
          <w:p w14:paraId="7A8DED0B" w14:textId="77777777" w:rsidR="00923AE2" w:rsidRPr="00781F4C" w:rsidRDefault="00923AE2" w:rsidP="00CF6621">
            <w:pPr>
              <w:jc w:val="center"/>
              <w:rPr>
                <w:sz w:val="16"/>
                <w:szCs w:val="16"/>
                <w:lang w:val="en-US"/>
              </w:rPr>
            </w:pPr>
            <w:r w:rsidRPr="00781F4C">
              <w:rPr>
                <w:rFonts w:asciiTheme="majorBidi" w:hAnsiTheme="majorBidi" w:cstheme="majorBidi"/>
                <w:sz w:val="16"/>
                <w:szCs w:val="16"/>
                <w:lang w:val="en-US"/>
              </w:rPr>
              <w:t>0.0000</w:t>
            </w:r>
          </w:p>
        </w:tc>
      </w:tr>
      <w:tr w:rsidR="00923AE2" w:rsidRPr="00781F4C" w14:paraId="25A5544B" w14:textId="77777777" w:rsidTr="00CF6916">
        <w:tc>
          <w:tcPr>
            <w:tcW w:w="1980" w:type="dxa"/>
            <w:tcBorders>
              <w:top w:val="dashed" w:sz="4" w:space="0" w:color="auto"/>
              <w:bottom w:val="single" w:sz="24" w:space="0" w:color="auto"/>
            </w:tcBorders>
          </w:tcPr>
          <w:p w14:paraId="6D22DF59" w14:textId="77777777" w:rsidR="00923AE2" w:rsidRPr="00781F4C" w:rsidRDefault="00923AE2" w:rsidP="00CF6916">
            <w:pPr>
              <w:jc w:val="both"/>
              <w:rPr>
                <w:sz w:val="16"/>
                <w:szCs w:val="16"/>
                <w:lang w:val="en-US"/>
              </w:rPr>
            </w:pPr>
            <w:r w:rsidRPr="00781F4C">
              <w:rPr>
                <w:rFonts w:asciiTheme="majorBidi" w:hAnsiTheme="majorBidi" w:cstheme="majorBidi"/>
                <w:sz w:val="16"/>
                <w:szCs w:val="16"/>
                <w:lang w:val="en-US" w:bidi="fa-IR"/>
              </w:rPr>
              <w:t>HAC variance</w:t>
            </w:r>
          </w:p>
        </w:tc>
        <w:tc>
          <w:tcPr>
            <w:tcW w:w="1420" w:type="dxa"/>
            <w:tcBorders>
              <w:top w:val="dashed" w:sz="4" w:space="0" w:color="auto"/>
              <w:bottom w:val="single" w:sz="24" w:space="0" w:color="auto"/>
            </w:tcBorders>
          </w:tcPr>
          <w:p w14:paraId="6DDF4D2B" w14:textId="3E77DAF2" w:rsidR="00923AE2" w:rsidRPr="00781F4C" w:rsidRDefault="007321A7" w:rsidP="00CF6621">
            <w:pPr>
              <w:jc w:val="center"/>
              <w:rPr>
                <w:sz w:val="16"/>
                <w:szCs w:val="16"/>
                <w:lang w:val="en-US"/>
              </w:rPr>
            </w:pPr>
            <w:r w:rsidRPr="00781F4C">
              <w:rPr>
                <w:rFonts w:asciiTheme="majorBidi" w:hAnsiTheme="majorBidi" w:cstheme="majorBidi"/>
                <w:sz w:val="16"/>
                <w:szCs w:val="16"/>
                <w:lang w:val="en-US" w:bidi="fa-IR"/>
              </w:rPr>
              <w:t>0.000</w:t>
            </w:r>
            <w:r w:rsidR="00923AE2" w:rsidRPr="00781F4C">
              <w:rPr>
                <w:rFonts w:asciiTheme="majorBidi" w:hAnsiTheme="majorBidi" w:cstheme="majorBidi"/>
                <w:sz w:val="16"/>
                <w:szCs w:val="16"/>
                <w:lang w:val="en-US" w:bidi="fa-IR"/>
              </w:rPr>
              <w:t>35</w:t>
            </w:r>
          </w:p>
        </w:tc>
        <w:tc>
          <w:tcPr>
            <w:tcW w:w="876" w:type="dxa"/>
            <w:tcBorders>
              <w:top w:val="dashed" w:sz="4" w:space="0" w:color="auto"/>
              <w:bottom w:val="single" w:sz="24" w:space="0" w:color="auto"/>
              <w:right w:val="single" w:sz="12" w:space="0" w:color="auto"/>
            </w:tcBorders>
          </w:tcPr>
          <w:p w14:paraId="2AA063EE" w14:textId="77777777" w:rsidR="00923AE2" w:rsidRPr="00781F4C" w:rsidRDefault="00923AE2" w:rsidP="00CF6916">
            <w:pPr>
              <w:jc w:val="both"/>
              <w:rPr>
                <w:sz w:val="16"/>
                <w:szCs w:val="16"/>
                <w:lang w:val="en-US"/>
              </w:rPr>
            </w:pPr>
          </w:p>
        </w:tc>
        <w:tc>
          <w:tcPr>
            <w:tcW w:w="2850" w:type="dxa"/>
            <w:tcBorders>
              <w:top w:val="dashed" w:sz="4" w:space="0" w:color="auto"/>
              <w:left w:val="single" w:sz="12" w:space="0" w:color="auto"/>
              <w:bottom w:val="single" w:sz="24" w:space="0" w:color="auto"/>
            </w:tcBorders>
          </w:tcPr>
          <w:p w14:paraId="66267E4C" w14:textId="77777777" w:rsidR="00923AE2" w:rsidRPr="00781F4C" w:rsidRDefault="00923AE2" w:rsidP="00CF6916">
            <w:pPr>
              <w:jc w:val="both"/>
              <w:rPr>
                <w:sz w:val="16"/>
                <w:szCs w:val="16"/>
                <w:lang w:val="en-US"/>
              </w:rPr>
            </w:pPr>
            <w:r w:rsidRPr="00781F4C">
              <w:rPr>
                <w:rFonts w:asciiTheme="majorBidi" w:hAnsiTheme="majorBidi" w:cstheme="majorBidi"/>
                <w:sz w:val="16"/>
                <w:szCs w:val="16"/>
                <w:lang w:val="en-US"/>
              </w:rPr>
              <w:t>Augmented Dickey-Fuller t</w:t>
            </w:r>
          </w:p>
        </w:tc>
        <w:tc>
          <w:tcPr>
            <w:tcW w:w="1256" w:type="dxa"/>
            <w:tcBorders>
              <w:top w:val="dashed" w:sz="4" w:space="0" w:color="auto"/>
              <w:bottom w:val="single" w:sz="24" w:space="0" w:color="auto"/>
            </w:tcBorders>
          </w:tcPr>
          <w:p w14:paraId="6DC80578" w14:textId="35C9562B" w:rsidR="00923AE2" w:rsidRPr="00781F4C" w:rsidRDefault="007321A7" w:rsidP="00CF6621">
            <w:pPr>
              <w:jc w:val="center"/>
              <w:rPr>
                <w:sz w:val="16"/>
                <w:szCs w:val="16"/>
                <w:lang w:val="en-US"/>
              </w:rPr>
            </w:pPr>
            <w:r w:rsidRPr="00781F4C">
              <w:rPr>
                <w:rFonts w:asciiTheme="majorBidi" w:hAnsiTheme="majorBidi" w:cstheme="majorBidi"/>
                <w:sz w:val="16"/>
                <w:szCs w:val="16"/>
                <w:lang w:val="en-US"/>
              </w:rPr>
              <w:t>-9.5</w:t>
            </w:r>
            <w:r w:rsidR="00923AE2" w:rsidRPr="00781F4C">
              <w:rPr>
                <w:rFonts w:asciiTheme="majorBidi" w:hAnsiTheme="majorBidi" w:cstheme="majorBidi"/>
                <w:sz w:val="16"/>
                <w:szCs w:val="16"/>
                <w:lang w:val="en-US"/>
              </w:rPr>
              <w:t>734</w:t>
            </w:r>
          </w:p>
        </w:tc>
        <w:tc>
          <w:tcPr>
            <w:tcW w:w="978" w:type="dxa"/>
            <w:tcBorders>
              <w:top w:val="dashed" w:sz="4" w:space="0" w:color="auto"/>
              <w:bottom w:val="single" w:sz="24" w:space="0" w:color="auto"/>
            </w:tcBorders>
          </w:tcPr>
          <w:p w14:paraId="2D86C0F5" w14:textId="77777777" w:rsidR="00923AE2" w:rsidRPr="00781F4C" w:rsidRDefault="00923AE2" w:rsidP="00CF6621">
            <w:pPr>
              <w:jc w:val="center"/>
              <w:rPr>
                <w:sz w:val="16"/>
                <w:szCs w:val="16"/>
                <w:lang w:val="en-US"/>
              </w:rPr>
            </w:pPr>
            <w:r w:rsidRPr="00781F4C">
              <w:rPr>
                <w:rFonts w:asciiTheme="majorBidi" w:hAnsiTheme="majorBidi" w:cstheme="majorBidi"/>
                <w:sz w:val="16"/>
                <w:szCs w:val="16"/>
                <w:lang w:val="en-US"/>
              </w:rPr>
              <w:t>0.0000</w:t>
            </w:r>
          </w:p>
        </w:tc>
      </w:tr>
    </w:tbl>
    <w:p w14:paraId="116BB004" w14:textId="77777777" w:rsidR="008E08A5" w:rsidRPr="00781F4C" w:rsidRDefault="008E08A5" w:rsidP="008E08A5">
      <w:pPr>
        <w:jc w:val="both"/>
        <w:rPr>
          <w:sz w:val="20"/>
          <w:szCs w:val="20"/>
          <w:lang w:val="en-US"/>
        </w:rPr>
      </w:pPr>
    </w:p>
    <w:p w14:paraId="05872054" w14:textId="77777777" w:rsidR="008E08A5" w:rsidRPr="00781F4C" w:rsidRDefault="008E08A5" w:rsidP="008E08A5">
      <w:pPr>
        <w:jc w:val="both"/>
        <w:rPr>
          <w:sz w:val="20"/>
          <w:szCs w:val="20"/>
          <w:lang w:val="en-US"/>
        </w:rPr>
      </w:pPr>
    </w:p>
    <w:p w14:paraId="5819BDA4" w14:textId="08B92183" w:rsidR="00B304E1" w:rsidRPr="00781F4C" w:rsidRDefault="00B304E1" w:rsidP="006D2EBD">
      <w:pPr>
        <w:ind w:firstLine="284"/>
        <w:jc w:val="both"/>
        <w:rPr>
          <w:sz w:val="20"/>
          <w:szCs w:val="20"/>
          <w:lang w:val="en-US"/>
        </w:rPr>
      </w:pPr>
      <w:r w:rsidRPr="00781F4C">
        <w:rPr>
          <w:sz w:val="20"/>
          <w:szCs w:val="20"/>
          <w:lang w:val="en-US"/>
        </w:rPr>
        <w:t xml:space="preserve">After reviewing the </w:t>
      </w:r>
      <w:r w:rsidR="00F11792" w:rsidRPr="00781F4C">
        <w:rPr>
          <w:rFonts w:eastAsia="Calibri"/>
          <w:sz w:val="20"/>
          <w:szCs w:val="20"/>
          <w:lang w:val="en-US"/>
        </w:rPr>
        <w:t xml:space="preserve">preliminary tests </w:t>
      </w:r>
      <w:r w:rsidR="00F11792" w:rsidRPr="00781F4C">
        <w:rPr>
          <w:sz w:val="20"/>
          <w:szCs w:val="20"/>
          <w:lang w:val="en-US"/>
        </w:rPr>
        <w:t xml:space="preserve">and confirming the not </w:t>
      </w:r>
      <w:r w:rsidRPr="00781F4C">
        <w:rPr>
          <w:sz w:val="20"/>
          <w:szCs w:val="20"/>
          <w:lang w:val="en-US"/>
        </w:rPr>
        <w:t>normal distr</w:t>
      </w:r>
      <w:r w:rsidR="00F11792" w:rsidRPr="00781F4C">
        <w:rPr>
          <w:sz w:val="20"/>
          <w:szCs w:val="20"/>
          <w:lang w:val="en-US"/>
        </w:rPr>
        <w:t>ibution of the data, the quantile</w:t>
      </w:r>
      <w:r w:rsidRPr="00781F4C">
        <w:rPr>
          <w:sz w:val="20"/>
          <w:szCs w:val="20"/>
          <w:lang w:val="en-US"/>
        </w:rPr>
        <w:t xml:space="preserve"> panel regression model is suitable for investigating the experimental analysis of the effect of explanatory variables on the ecological footprint.</w:t>
      </w:r>
    </w:p>
    <w:p w14:paraId="31F26446" w14:textId="5C35AA0E" w:rsidR="00835C3E" w:rsidRPr="00781F4C" w:rsidRDefault="00835C3E" w:rsidP="00F11792">
      <w:pPr>
        <w:jc w:val="both"/>
        <w:rPr>
          <w:lang w:val="en-US"/>
        </w:rPr>
      </w:pPr>
    </w:p>
    <w:p w14:paraId="3AFDA833" w14:textId="77777777" w:rsidR="00BA382A" w:rsidRPr="00781F4C" w:rsidRDefault="00BA382A" w:rsidP="00BA382A">
      <w:pPr>
        <w:spacing w:line="360" w:lineRule="auto"/>
        <w:jc w:val="both"/>
        <w:rPr>
          <w:sz w:val="20"/>
          <w:szCs w:val="20"/>
          <w:lang w:val="en-US" w:bidi="fa-IR"/>
        </w:rPr>
      </w:pPr>
    </w:p>
    <w:p w14:paraId="302A6D0B" w14:textId="4096D1E4" w:rsidR="00BA382A" w:rsidRPr="00781F4C" w:rsidRDefault="00C2148F" w:rsidP="00C2148F">
      <w:pPr>
        <w:spacing w:line="360" w:lineRule="auto"/>
        <w:jc w:val="both"/>
        <w:rPr>
          <w:i/>
          <w:iCs/>
          <w:sz w:val="20"/>
          <w:szCs w:val="20"/>
          <w:lang w:val="en-US" w:bidi="fa-IR"/>
        </w:rPr>
      </w:pPr>
      <w:r w:rsidRPr="00781F4C">
        <w:rPr>
          <w:i/>
          <w:iCs/>
          <w:sz w:val="20"/>
          <w:szCs w:val="20"/>
          <w:lang w:val="en-US" w:bidi="fa-IR"/>
        </w:rPr>
        <w:t xml:space="preserve">4.1.1. </w:t>
      </w:r>
      <w:r w:rsidR="00BA382A" w:rsidRPr="00781F4C">
        <w:rPr>
          <w:i/>
          <w:iCs/>
          <w:sz w:val="20"/>
          <w:szCs w:val="20"/>
          <w:lang w:val="en-US" w:bidi="fa-IR"/>
        </w:rPr>
        <w:t xml:space="preserve">Panel quantile regression </w:t>
      </w:r>
      <w:r w:rsidR="008E08A5" w:rsidRPr="00781F4C">
        <w:rPr>
          <w:i/>
          <w:iCs/>
          <w:sz w:val="20"/>
          <w:szCs w:val="20"/>
          <w:lang w:val="en-US" w:bidi="fa-IR"/>
        </w:rPr>
        <w:t>r</w:t>
      </w:r>
      <w:r w:rsidR="00BA382A" w:rsidRPr="00781F4C">
        <w:rPr>
          <w:i/>
          <w:iCs/>
          <w:sz w:val="20"/>
          <w:szCs w:val="20"/>
          <w:lang w:val="en-US" w:bidi="fa-IR"/>
        </w:rPr>
        <w:t>esult and discussion</w:t>
      </w:r>
    </w:p>
    <w:p w14:paraId="66A60188" w14:textId="2202867F" w:rsidR="00835C3E" w:rsidRPr="00781F4C" w:rsidRDefault="00E273CD" w:rsidP="006D2EBD">
      <w:pPr>
        <w:ind w:firstLine="284"/>
        <w:jc w:val="both"/>
        <w:rPr>
          <w:sz w:val="20"/>
          <w:szCs w:val="20"/>
          <w:lang w:val="en-US" w:bidi="fa-IR"/>
        </w:rPr>
      </w:pPr>
      <w:r w:rsidRPr="00781F4C">
        <w:rPr>
          <w:sz w:val="20"/>
          <w:szCs w:val="20"/>
          <w:lang w:val="en-US" w:bidi="fa-IR"/>
        </w:rPr>
        <w:t xml:space="preserve"> In this study, </w:t>
      </w:r>
      <w:r w:rsidR="00A2620B" w:rsidRPr="00781F4C">
        <w:rPr>
          <w:sz w:val="20"/>
          <w:szCs w:val="20"/>
          <w:lang w:val="en-US" w:bidi="fa-IR"/>
        </w:rPr>
        <w:t>following</w:t>
      </w:r>
      <w:r w:rsidRPr="00781F4C">
        <w:rPr>
          <w:sz w:val="20"/>
          <w:szCs w:val="20"/>
          <w:lang w:val="en-US" w:bidi="fa-IR"/>
        </w:rPr>
        <w:t xml:space="preserve"> most studies, quantile values of 10th, 25th, 50th, 75th, and 90th are used as representative values for experimental analysis. </w:t>
      </w:r>
      <w:r w:rsidR="00A71AA0" w:rsidRPr="00781F4C">
        <w:rPr>
          <w:sz w:val="20"/>
          <w:szCs w:val="20"/>
          <w:lang w:val="en-US" w:bidi="fa-IR"/>
        </w:rPr>
        <w:t>In this study, a fixed</w:t>
      </w:r>
      <w:r w:rsidR="00575F49" w:rsidRPr="00781F4C">
        <w:rPr>
          <w:sz w:val="20"/>
          <w:szCs w:val="20"/>
          <w:lang w:val="en-US" w:bidi="fa-IR"/>
        </w:rPr>
        <w:t>-</w:t>
      </w:r>
      <w:r w:rsidR="00A71AA0" w:rsidRPr="00781F4C">
        <w:rPr>
          <w:sz w:val="20"/>
          <w:szCs w:val="20"/>
          <w:lang w:val="en-US" w:bidi="fa-IR"/>
        </w:rPr>
        <w:t xml:space="preserve">effects panel is also used to evaluate the robustness of the results. In addition, the </w:t>
      </w:r>
      <w:r w:rsidR="00107D13" w:rsidRPr="00781F4C">
        <w:rPr>
          <w:sz w:val="20"/>
          <w:szCs w:val="20"/>
          <w:lang w:val="en-US" w:bidi="fa-IR"/>
        </w:rPr>
        <w:t>countries in Table 7</w:t>
      </w:r>
      <w:r w:rsidR="00A71AA0" w:rsidRPr="00781F4C">
        <w:rPr>
          <w:sz w:val="20"/>
          <w:szCs w:val="20"/>
          <w:lang w:val="en-US" w:bidi="fa-IR"/>
        </w:rPr>
        <w:t xml:space="preserve"> are classified into six groups based on the Ecological Footprint Scale.</w:t>
      </w:r>
    </w:p>
    <w:p w14:paraId="0120D2D0" w14:textId="77777777" w:rsidR="008E08A5" w:rsidRPr="00781F4C" w:rsidRDefault="008E08A5" w:rsidP="008E08A5">
      <w:pPr>
        <w:jc w:val="both"/>
        <w:rPr>
          <w:lang w:val="en-US" w:bidi="fa-IR"/>
        </w:rPr>
      </w:pPr>
    </w:p>
    <w:tbl>
      <w:tblPr>
        <w:tblStyle w:val="TableGrid"/>
        <w:bidiVisual/>
        <w:tblW w:w="9232" w:type="dxa"/>
        <w:jc w:val="center"/>
        <w:tblLook w:val="04A0" w:firstRow="1" w:lastRow="0" w:firstColumn="1" w:lastColumn="0" w:noHBand="0" w:noVBand="1"/>
      </w:tblPr>
      <w:tblGrid>
        <w:gridCol w:w="6078"/>
        <w:gridCol w:w="3154"/>
      </w:tblGrid>
      <w:tr w:rsidR="005737CD" w:rsidRPr="00781F4C" w14:paraId="4CB366E7" w14:textId="77777777" w:rsidTr="00CF6916">
        <w:trPr>
          <w:trHeight w:val="263"/>
          <w:jc w:val="center"/>
        </w:trPr>
        <w:tc>
          <w:tcPr>
            <w:tcW w:w="9232" w:type="dxa"/>
            <w:gridSpan w:val="2"/>
            <w:tcBorders>
              <w:top w:val="nil"/>
              <w:left w:val="nil"/>
              <w:bottom w:val="single" w:sz="24" w:space="0" w:color="auto"/>
              <w:right w:val="nil"/>
            </w:tcBorders>
          </w:tcPr>
          <w:p w14:paraId="0995A3A3" w14:textId="5D7578EE" w:rsidR="000A14A1" w:rsidRPr="00781F4C" w:rsidRDefault="00107D13" w:rsidP="00CF6916">
            <w:pPr>
              <w:rPr>
                <w:rStyle w:val="fontstyle01"/>
                <w:rFonts w:asciiTheme="majorBidi" w:hAnsiTheme="majorBidi" w:cstheme="majorBidi"/>
                <w:i/>
                <w:iCs/>
                <w:color w:val="auto"/>
                <w:sz w:val="18"/>
                <w:szCs w:val="18"/>
                <w:lang w:val="en-US"/>
              </w:rPr>
            </w:pPr>
            <w:r w:rsidRPr="00781F4C">
              <w:rPr>
                <w:rFonts w:asciiTheme="majorBidi" w:hAnsiTheme="majorBidi" w:cstheme="majorBidi"/>
                <w:i/>
                <w:iCs/>
                <w:sz w:val="18"/>
                <w:szCs w:val="18"/>
                <w:lang w:val="en-US"/>
              </w:rPr>
              <w:t>Table 7</w:t>
            </w:r>
            <w:r w:rsidR="000A14A1" w:rsidRPr="00781F4C">
              <w:rPr>
                <w:rFonts w:asciiTheme="majorBidi" w:hAnsiTheme="majorBidi" w:cstheme="majorBidi"/>
                <w:i/>
                <w:iCs/>
                <w:sz w:val="18"/>
                <w:szCs w:val="18"/>
                <w:lang w:val="en-US"/>
              </w:rPr>
              <w:t>. Country distribution of ecological footprint (</w:t>
            </w:r>
            <w:proofErr w:type="spellStart"/>
            <w:r w:rsidR="000A14A1" w:rsidRPr="00781F4C">
              <w:rPr>
                <w:rFonts w:asciiTheme="majorBidi" w:hAnsiTheme="majorBidi" w:cstheme="majorBidi"/>
                <w:i/>
                <w:iCs/>
                <w:sz w:val="18"/>
                <w:szCs w:val="18"/>
                <w:lang w:val="en-US"/>
              </w:rPr>
              <w:t>gha</w:t>
            </w:r>
            <w:proofErr w:type="spellEnd"/>
            <w:r w:rsidR="000A14A1" w:rsidRPr="00781F4C">
              <w:rPr>
                <w:rFonts w:asciiTheme="majorBidi" w:hAnsiTheme="majorBidi" w:cstheme="majorBidi"/>
                <w:i/>
                <w:iCs/>
                <w:sz w:val="18"/>
                <w:szCs w:val="18"/>
                <w:lang w:val="en-US"/>
              </w:rPr>
              <w:t>)</w:t>
            </w:r>
          </w:p>
        </w:tc>
      </w:tr>
      <w:tr w:rsidR="005737CD" w:rsidRPr="00781F4C" w14:paraId="2296D339" w14:textId="77777777" w:rsidTr="000A14A1">
        <w:trPr>
          <w:trHeight w:val="263"/>
          <w:jc w:val="center"/>
        </w:trPr>
        <w:tc>
          <w:tcPr>
            <w:tcW w:w="6078" w:type="dxa"/>
            <w:tcBorders>
              <w:top w:val="single" w:sz="24" w:space="0" w:color="auto"/>
              <w:left w:val="nil"/>
              <w:bottom w:val="single" w:sz="12" w:space="0" w:color="auto"/>
              <w:right w:val="nil"/>
            </w:tcBorders>
          </w:tcPr>
          <w:p w14:paraId="197F78B9" w14:textId="77777777" w:rsidR="000A14A1" w:rsidRPr="00781F4C" w:rsidRDefault="000A14A1" w:rsidP="00CF6916">
            <w:pPr>
              <w:bidi/>
              <w:jc w:val="center"/>
              <w:rPr>
                <w:rFonts w:asciiTheme="majorBidi" w:hAnsiTheme="majorBidi" w:cstheme="majorBidi"/>
                <w:i/>
                <w:iCs/>
                <w:sz w:val="16"/>
                <w:szCs w:val="16"/>
                <w:rtl/>
                <w:lang w:val="en-US"/>
              </w:rPr>
            </w:pPr>
            <w:r w:rsidRPr="00781F4C">
              <w:rPr>
                <w:rFonts w:asciiTheme="majorBidi" w:hAnsiTheme="majorBidi" w:cstheme="majorBidi"/>
                <w:i/>
                <w:iCs/>
                <w:sz w:val="16"/>
                <w:szCs w:val="16"/>
                <w:lang w:val="en-US"/>
              </w:rPr>
              <w:t>Country</w:t>
            </w:r>
          </w:p>
        </w:tc>
        <w:tc>
          <w:tcPr>
            <w:tcW w:w="3154" w:type="dxa"/>
            <w:tcBorders>
              <w:top w:val="single" w:sz="24" w:space="0" w:color="auto"/>
              <w:left w:val="nil"/>
              <w:bottom w:val="single" w:sz="12" w:space="0" w:color="auto"/>
              <w:right w:val="nil"/>
            </w:tcBorders>
          </w:tcPr>
          <w:p w14:paraId="4A470BA7" w14:textId="77777777" w:rsidR="000A14A1" w:rsidRPr="00781F4C" w:rsidRDefault="000A14A1" w:rsidP="00CF6916">
            <w:pPr>
              <w:jc w:val="center"/>
              <w:rPr>
                <w:rFonts w:asciiTheme="majorBidi" w:hAnsiTheme="majorBidi" w:cstheme="majorBidi"/>
                <w:i/>
                <w:iCs/>
                <w:sz w:val="16"/>
                <w:szCs w:val="16"/>
                <w:rtl/>
                <w:lang w:val="en-US"/>
              </w:rPr>
            </w:pPr>
            <w:r w:rsidRPr="00781F4C">
              <w:rPr>
                <w:rStyle w:val="fontstyle01"/>
                <w:rFonts w:asciiTheme="majorBidi" w:hAnsiTheme="majorBidi"/>
                <w:i/>
                <w:iCs/>
                <w:color w:val="auto"/>
                <w:sz w:val="16"/>
                <w:szCs w:val="16"/>
                <w:lang w:val="en-US"/>
              </w:rPr>
              <w:t>Quantile</w:t>
            </w:r>
          </w:p>
        </w:tc>
      </w:tr>
      <w:tr w:rsidR="005737CD" w:rsidRPr="00781F4C" w14:paraId="14FFC7E3" w14:textId="77777777" w:rsidTr="000A14A1">
        <w:trPr>
          <w:trHeight w:val="263"/>
          <w:jc w:val="center"/>
        </w:trPr>
        <w:tc>
          <w:tcPr>
            <w:tcW w:w="6078" w:type="dxa"/>
            <w:tcBorders>
              <w:top w:val="single" w:sz="12" w:space="0" w:color="auto"/>
              <w:left w:val="nil"/>
              <w:bottom w:val="nil"/>
              <w:right w:val="nil"/>
            </w:tcBorders>
          </w:tcPr>
          <w:p w14:paraId="0F31E51C" w14:textId="3868E393" w:rsidR="000A14A1" w:rsidRPr="00781F4C" w:rsidRDefault="00107B28" w:rsidP="00CF6916">
            <w:pPr>
              <w:rPr>
                <w:rFonts w:asciiTheme="majorBidi" w:hAnsiTheme="majorBidi" w:cstheme="majorBidi"/>
                <w:sz w:val="16"/>
                <w:szCs w:val="16"/>
                <w:rtl/>
                <w:lang w:val="en-US" w:eastAsia="en-US"/>
              </w:rPr>
            </w:pPr>
            <w:r w:rsidRPr="00781F4C">
              <w:rPr>
                <w:rFonts w:asciiTheme="majorBidi" w:hAnsiTheme="majorBidi" w:cstheme="majorBidi"/>
                <w:sz w:val="16"/>
                <w:szCs w:val="16"/>
                <w:lang w:eastAsia="en-US"/>
              </w:rPr>
              <w:t>Bahrain, Jordan</w:t>
            </w:r>
          </w:p>
        </w:tc>
        <w:tc>
          <w:tcPr>
            <w:tcW w:w="3154" w:type="dxa"/>
            <w:tcBorders>
              <w:top w:val="single" w:sz="12" w:space="0" w:color="auto"/>
              <w:left w:val="nil"/>
              <w:bottom w:val="nil"/>
              <w:right w:val="nil"/>
            </w:tcBorders>
          </w:tcPr>
          <w:p w14:paraId="082F2DE1" w14:textId="77777777" w:rsidR="000A14A1" w:rsidRPr="00781F4C" w:rsidRDefault="000A14A1" w:rsidP="00CF6916">
            <w:pPr>
              <w:jc w:val="center"/>
              <w:rPr>
                <w:rFonts w:asciiTheme="majorBidi" w:hAnsiTheme="majorBidi" w:cstheme="majorBidi"/>
                <w:sz w:val="16"/>
                <w:szCs w:val="16"/>
                <w:rtl/>
                <w:lang w:val="en-US"/>
              </w:rPr>
            </w:pPr>
            <w:r w:rsidRPr="00781F4C">
              <w:rPr>
                <w:rStyle w:val="fontstyle01"/>
                <w:rFonts w:asciiTheme="majorBidi" w:hAnsiTheme="majorBidi"/>
                <w:color w:val="auto"/>
                <w:sz w:val="16"/>
                <w:szCs w:val="16"/>
                <w:lang w:val="en-US"/>
              </w:rPr>
              <w:t>The lower 10th quantile group</w:t>
            </w:r>
          </w:p>
        </w:tc>
      </w:tr>
      <w:tr w:rsidR="005737CD" w:rsidRPr="00781F4C" w14:paraId="7F67629B" w14:textId="77777777" w:rsidTr="000A14A1">
        <w:trPr>
          <w:trHeight w:val="263"/>
          <w:jc w:val="center"/>
        </w:trPr>
        <w:tc>
          <w:tcPr>
            <w:tcW w:w="6078" w:type="dxa"/>
            <w:tcBorders>
              <w:top w:val="nil"/>
              <w:left w:val="nil"/>
              <w:bottom w:val="nil"/>
              <w:right w:val="nil"/>
            </w:tcBorders>
          </w:tcPr>
          <w:p w14:paraId="33A41D51" w14:textId="4E296DB3" w:rsidR="000A14A1" w:rsidRPr="00781F4C" w:rsidRDefault="00107B28" w:rsidP="00107B28">
            <w:pPr>
              <w:rPr>
                <w:rFonts w:asciiTheme="majorBidi" w:hAnsiTheme="majorBidi" w:cstheme="majorBidi"/>
                <w:sz w:val="16"/>
                <w:szCs w:val="16"/>
                <w:rtl/>
                <w:lang w:eastAsia="en-US"/>
              </w:rPr>
            </w:pPr>
            <w:r w:rsidRPr="00781F4C">
              <w:rPr>
                <w:rFonts w:asciiTheme="majorBidi" w:hAnsiTheme="majorBidi" w:cstheme="majorBidi"/>
                <w:sz w:val="16"/>
                <w:szCs w:val="16"/>
                <w:lang w:eastAsia="en-US"/>
              </w:rPr>
              <w:t>Cambodia, Lebanon, Singapore</w:t>
            </w:r>
          </w:p>
        </w:tc>
        <w:tc>
          <w:tcPr>
            <w:tcW w:w="3154" w:type="dxa"/>
            <w:tcBorders>
              <w:top w:val="nil"/>
              <w:left w:val="nil"/>
              <w:bottom w:val="nil"/>
              <w:right w:val="nil"/>
            </w:tcBorders>
          </w:tcPr>
          <w:p w14:paraId="3A057BB3" w14:textId="1FC28CF3" w:rsidR="000A14A1" w:rsidRPr="00781F4C" w:rsidRDefault="000A14A1" w:rsidP="00CF6916">
            <w:pPr>
              <w:jc w:val="center"/>
              <w:rPr>
                <w:rFonts w:asciiTheme="majorBidi" w:hAnsiTheme="majorBidi" w:cstheme="majorBidi"/>
                <w:sz w:val="16"/>
                <w:szCs w:val="16"/>
                <w:rtl/>
                <w:lang w:val="en-US"/>
              </w:rPr>
            </w:pPr>
            <w:r w:rsidRPr="00781F4C">
              <w:rPr>
                <w:rStyle w:val="fontstyle01"/>
                <w:rFonts w:asciiTheme="majorBidi" w:hAnsiTheme="majorBidi"/>
                <w:color w:val="auto"/>
                <w:sz w:val="16"/>
                <w:szCs w:val="16"/>
                <w:lang w:val="en-US"/>
              </w:rPr>
              <w:t>The 10th</w:t>
            </w:r>
            <w:r w:rsidR="001A3E8A" w:rsidRPr="00781F4C">
              <w:rPr>
                <w:rStyle w:val="fontstyle01"/>
                <w:rFonts w:asciiTheme="majorBidi" w:hAnsiTheme="majorBidi"/>
                <w:color w:val="auto"/>
                <w:sz w:val="16"/>
                <w:szCs w:val="16"/>
                <w:lang w:val="en-US"/>
              </w:rPr>
              <w:t xml:space="preserve"> - </w:t>
            </w:r>
            <w:r w:rsidRPr="00781F4C">
              <w:rPr>
                <w:rStyle w:val="fontstyle01"/>
                <w:rFonts w:asciiTheme="majorBidi" w:hAnsiTheme="majorBidi"/>
                <w:color w:val="auto"/>
                <w:sz w:val="16"/>
                <w:szCs w:val="16"/>
                <w:lang w:val="en-US"/>
              </w:rPr>
              <w:t>25th quantile group</w:t>
            </w:r>
          </w:p>
        </w:tc>
      </w:tr>
      <w:tr w:rsidR="005737CD" w:rsidRPr="00781F4C" w14:paraId="48F85826" w14:textId="77777777" w:rsidTr="000A14A1">
        <w:trPr>
          <w:trHeight w:val="263"/>
          <w:jc w:val="center"/>
        </w:trPr>
        <w:tc>
          <w:tcPr>
            <w:tcW w:w="6078" w:type="dxa"/>
            <w:tcBorders>
              <w:top w:val="nil"/>
              <w:left w:val="nil"/>
              <w:bottom w:val="nil"/>
              <w:right w:val="nil"/>
            </w:tcBorders>
          </w:tcPr>
          <w:p w14:paraId="5231CE56" w14:textId="12D64059" w:rsidR="000A14A1" w:rsidRPr="00781F4C" w:rsidRDefault="00107B28" w:rsidP="001A3E8A">
            <w:pPr>
              <w:rPr>
                <w:rFonts w:asciiTheme="majorBidi" w:hAnsiTheme="majorBidi" w:cstheme="majorBidi"/>
                <w:sz w:val="16"/>
                <w:szCs w:val="16"/>
                <w:rtl/>
                <w:lang w:val="en-US" w:eastAsia="en-US"/>
              </w:rPr>
            </w:pPr>
            <w:r w:rsidRPr="00781F4C">
              <w:rPr>
                <w:rFonts w:asciiTheme="majorBidi" w:hAnsiTheme="majorBidi" w:cstheme="majorBidi"/>
                <w:sz w:val="16"/>
                <w:szCs w:val="16"/>
                <w:lang w:eastAsia="en-US"/>
              </w:rPr>
              <w:t xml:space="preserve">Oman, Israel, Iraq, </w:t>
            </w:r>
            <w:r w:rsidRPr="00781F4C">
              <w:rPr>
                <w:rFonts w:asciiTheme="majorBidi" w:hAnsiTheme="majorBidi" w:cstheme="majorBidi"/>
                <w:sz w:val="16"/>
                <w:szCs w:val="16"/>
                <w:lang w:val="en-US" w:eastAsia="en-US"/>
              </w:rPr>
              <w:t xml:space="preserve">Qatar, United Arab </w:t>
            </w:r>
          </w:p>
        </w:tc>
        <w:tc>
          <w:tcPr>
            <w:tcW w:w="3154" w:type="dxa"/>
            <w:tcBorders>
              <w:top w:val="nil"/>
              <w:left w:val="nil"/>
              <w:bottom w:val="nil"/>
              <w:right w:val="nil"/>
            </w:tcBorders>
          </w:tcPr>
          <w:p w14:paraId="5BC5A92F" w14:textId="40B0C3A2" w:rsidR="000A14A1" w:rsidRPr="00781F4C" w:rsidRDefault="000A14A1" w:rsidP="00CF6916">
            <w:pPr>
              <w:jc w:val="center"/>
              <w:rPr>
                <w:rFonts w:asciiTheme="majorBidi" w:hAnsiTheme="majorBidi" w:cstheme="majorBidi"/>
                <w:sz w:val="16"/>
                <w:szCs w:val="16"/>
                <w:rtl/>
                <w:lang w:val="en-US"/>
              </w:rPr>
            </w:pPr>
            <w:r w:rsidRPr="00781F4C">
              <w:rPr>
                <w:rStyle w:val="fontstyle01"/>
                <w:rFonts w:asciiTheme="majorBidi" w:hAnsiTheme="majorBidi"/>
                <w:color w:val="auto"/>
                <w:sz w:val="16"/>
                <w:szCs w:val="16"/>
                <w:lang w:val="en-US"/>
              </w:rPr>
              <w:t>The 25th</w:t>
            </w:r>
            <w:r w:rsidR="001A3E8A" w:rsidRPr="00781F4C">
              <w:rPr>
                <w:rStyle w:val="fontstyle01"/>
                <w:rFonts w:asciiTheme="majorBidi" w:hAnsiTheme="majorBidi"/>
                <w:color w:val="auto"/>
                <w:sz w:val="16"/>
                <w:szCs w:val="16"/>
                <w:lang w:val="en-US"/>
              </w:rPr>
              <w:t xml:space="preserve"> - </w:t>
            </w:r>
            <w:r w:rsidRPr="00781F4C">
              <w:rPr>
                <w:rStyle w:val="fontstyle01"/>
                <w:rFonts w:asciiTheme="majorBidi" w:hAnsiTheme="majorBidi"/>
                <w:color w:val="auto"/>
                <w:sz w:val="16"/>
                <w:szCs w:val="16"/>
                <w:lang w:val="en-US"/>
              </w:rPr>
              <w:t>50th quantile group</w:t>
            </w:r>
          </w:p>
        </w:tc>
      </w:tr>
      <w:tr w:rsidR="005737CD" w:rsidRPr="00781F4C" w14:paraId="134703C6" w14:textId="77777777" w:rsidTr="000A14A1">
        <w:trPr>
          <w:trHeight w:val="263"/>
          <w:jc w:val="center"/>
        </w:trPr>
        <w:tc>
          <w:tcPr>
            <w:tcW w:w="6078" w:type="dxa"/>
            <w:tcBorders>
              <w:top w:val="nil"/>
              <w:left w:val="nil"/>
              <w:bottom w:val="nil"/>
              <w:right w:val="nil"/>
            </w:tcBorders>
          </w:tcPr>
          <w:p w14:paraId="670CE1CE" w14:textId="3DD03AA4" w:rsidR="00107B28" w:rsidRPr="00781F4C" w:rsidRDefault="00107B28" w:rsidP="00107B28">
            <w:pPr>
              <w:rPr>
                <w:rFonts w:asciiTheme="majorBidi" w:hAnsiTheme="majorBidi" w:cstheme="majorBidi"/>
                <w:sz w:val="16"/>
                <w:szCs w:val="16"/>
                <w:lang w:val="en-US" w:eastAsia="en-US"/>
              </w:rPr>
            </w:pPr>
            <w:r w:rsidRPr="00781F4C">
              <w:rPr>
                <w:rFonts w:asciiTheme="majorBidi" w:hAnsiTheme="majorBidi" w:cstheme="majorBidi"/>
                <w:sz w:val="16"/>
                <w:szCs w:val="16"/>
                <w:lang w:val="en-US" w:eastAsia="en-US"/>
              </w:rPr>
              <w:t xml:space="preserve">Bangladesh, Malaysia, Saudi Arab, Philippines, </w:t>
            </w:r>
          </w:p>
          <w:p w14:paraId="7A5A8F1B" w14:textId="473D63F6" w:rsidR="000A14A1" w:rsidRPr="00781F4C" w:rsidRDefault="00107B28" w:rsidP="00107B28">
            <w:pPr>
              <w:rPr>
                <w:rFonts w:asciiTheme="majorBidi" w:hAnsiTheme="majorBidi" w:cstheme="majorBidi"/>
                <w:sz w:val="16"/>
                <w:szCs w:val="16"/>
                <w:rtl/>
                <w:lang w:val="en-US" w:eastAsia="en-US"/>
              </w:rPr>
            </w:pPr>
            <w:r w:rsidRPr="00781F4C">
              <w:rPr>
                <w:rFonts w:asciiTheme="majorBidi" w:hAnsiTheme="majorBidi" w:cstheme="majorBidi"/>
                <w:sz w:val="16"/>
                <w:szCs w:val="16"/>
                <w:lang w:val="en-US" w:eastAsia="en-US"/>
              </w:rPr>
              <w:lastRenderedPageBreak/>
              <w:t>Pakistan</w:t>
            </w:r>
          </w:p>
        </w:tc>
        <w:tc>
          <w:tcPr>
            <w:tcW w:w="3154" w:type="dxa"/>
            <w:tcBorders>
              <w:top w:val="nil"/>
              <w:left w:val="nil"/>
              <w:bottom w:val="nil"/>
              <w:right w:val="nil"/>
            </w:tcBorders>
          </w:tcPr>
          <w:p w14:paraId="7F30EED3" w14:textId="49DCC837" w:rsidR="000A14A1" w:rsidRPr="00781F4C" w:rsidRDefault="000A14A1" w:rsidP="00CF6916">
            <w:pPr>
              <w:jc w:val="center"/>
              <w:rPr>
                <w:rFonts w:asciiTheme="majorBidi" w:hAnsiTheme="majorBidi" w:cstheme="majorBidi"/>
                <w:sz w:val="16"/>
                <w:szCs w:val="16"/>
                <w:rtl/>
                <w:lang w:val="en-US"/>
              </w:rPr>
            </w:pPr>
            <w:r w:rsidRPr="00781F4C">
              <w:rPr>
                <w:rStyle w:val="fontstyle01"/>
                <w:rFonts w:asciiTheme="majorBidi" w:hAnsiTheme="majorBidi"/>
                <w:color w:val="auto"/>
                <w:sz w:val="16"/>
                <w:szCs w:val="16"/>
                <w:lang w:val="en-US"/>
              </w:rPr>
              <w:lastRenderedPageBreak/>
              <w:t>The 50th</w:t>
            </w:r>
            <w:r w:rsidR="001A3E8A" w:rsidRPr="00781F4C">
              <w:rPr>
                <w:rStyle w:val="fontstyle21"/>
                <w:rFonts w:asciiTheme="majorBidi" w:hAnsiTheme="majorBidi" w:cstheme="majorBidi"/>
                <w:color w:val="auto"/>
                <w:sz w:val="16"/>
                <w:szCs w:val="16"/>
                <w:lang w:val="en-US"/>
              </w:rPr>
              <w:t xml:space="preserve"> - </w:t>
            </w:r>
            <w:r w:rsidRPr="00781F4C">
              <w:rPr>
                <w:rStyle w:val="fontstyle01"/>
                <w:rFonts w:asciiTheme="majorBidi" w:hAnsiTheme="majorBidi"/>
                <w:color w:val="auto"/>
                <w:sz w:val="16"/>
                <w:szCs w:val="16"/>
                <w:lang w:val="en-US"/>
              </w:rPr>
              <w:t>75th quantile group</w:t>
            </w:r>
          </w:p>
        </w:tc>
      </w:tr>
      <w:tr w:rsidR="005737CD" w:rsidRPr="00781F4C" w14:paraId="31ABB78A" w14:textId="77777777" w:rsidTr="000A14A1">
        <w:trPr>
          <w:trHeight w:val="263"/>
          <w:jc w:val="center"/>
        </w:trPr>
        <w:tc>
          <w:tcPr>
            <w:tcW w:w="6078" w:type="dxa"/>
            <w:tcBorders>
              <w:top w:val="nil"/>
              <w:left w:val="nil"/>
              <w:bottom w:val="nil"/>
              <w:right w:val="nil"/>
            </w:tcBorders>
          </w:tcPr>
          <w:p w14:paraId="266884CB" w14:textId="29DF8731" w:rsidR="000A14A1" w:rsidRPr="00781F4C" w:rsidRDefault="00107B28" w:rsidP="000A14A1">
            <w:pPr>
              <w:rPr>
                <w:rFonts w:asciiTheme="majorBidi" w:hAnsiTheme="majorBidi" w:cstheme="majorBidi"/>
                <w:sz w:val="16"/>
                <w:szCs w:val="16"/>
                <w:rtl/>
                <w:lang w:val="en-US" w:eastAsia="en-US"/>
              </w:rPr>
            </w:pPr>
            <w:r w:rsidRPr="00781F4C">
              <w:rPr>
                <w:rFonts w:asciiTheme="majorBidi" w:hAnsiTheme="majorBidi" w:cstheme="majorBidi"/>
                <w:sz w:val="16"/>
                <w:szCs w:val="16"/>
                <w:lang w:val="en-US" w:eastAsia="en-US"/>
              </w:rPr>
              <w:t>Thailand, Iran, Turkey</w:t>
            </w:r>
          </w:p>
        </w:tc>
        <w:tc>
          <w:tcPr>
            <w:tcW w:w="3154" w:type="dxa"/>
            <w:tcBorders>
              <w:top w:val="nil"/>
              <w:left w:val="nil"/>
              <w:bottom w:val="nil"/>
              <w:right w:val="nil"/>
            </w:tcBorders>
          </w:tcPr>
          <w:p w14:paraId="12BB2CA0" w14:textId="0BE1ACB2" w:rsidR="000A14A1" w:rsidRPr="00781F4C" w:rsidRDefault="000A14A1" w:rsidP="000A14A1">
            <w:pPr>
              <w:jc w:val="center"/>
              <w:rPr>
                <w:rFonts w:asciiTheme="majorBidi" w:hAnsiTheme="majorBidi" w:cstheme="majorBidi"/>
                <w:sz w:val="16"/>
                <w:szCs w:val="16"/>
                <w:rtl/>
                <w:lang w:val="en-US"/>
              </w:rPr>
            </w:pPr>
            <w:r w:rsidRPr="00781F4C">
              <w:rPr>
                <w:rStyle w:val="fontstyle01"/>
                <w:rFonts w:asciiTheme="majorBidi" w:hAnsiTheme="majorBidi"/>
                <w:color w:val="auto"/>
                <w:sz w:val="16"/>
                <w:szCs w:val="16"/>
                <w:lang w:val="en-US"/>
              </w:rPr>
              <w:t>The 75th</w:t>
            </w:r>
            <w:r w:rsidR="001A3E8A" w:rsidRPr="00781F4C">
              <w:rPr>
                <w:rStyle w:val="fontstyle21"/>
                <w:rFonts w:asciiTheme="majorBidi" w:hAnsiTheme="majorBidi" w:cstheme="majorBidi"/>
                <w:color w:val="auto"/>
                <w:sz w:val="16"/>
                <w:szCs w:val="16"/>
                <w:lang w:val="en-US"/>
              </w:rPr>
              <w:t xml:space="preserve"> - </w:t>
            </w:r>
            <w:r w:rsidRPr="00781F4C">
              <w:rPr>
                <w:rStyle w:val="fontstyle01"/>
                <w:rFonts w:asciiTheme="majorBidi" w:hAnsiTheme="majorBidi"/>
                <w:color w:val="auto"/>
                <w:sz w:val="16"/>
                <w:szCs w:val="16"/>
                <w:lang w:val="en-US"/>
              </w:rPr>
              <w:t>90th quantile group</w:t>
            </w:r>
          </w:p>
        </w:tc>
      </w:tr>
      <w:tr w:rsidR="005737CD" w:rsidRPr="00781F4C" w14:paraId="52682152" w14:textId="77777777" w:rsidTr="000A14A1">
        <w:trPr>
          <w:trHeight w:val="263"/>
          <w:jc w:val="center"/>
        </w:trPr>
        <w:tc>
          <w:tcPr>
            <w:tcW w:w="6078" w:type="dxa"/>
            <w:tcBorders>
              <w:top w:val="nil"/>
              <w:left w:val="nil"/>
              <w:bottom w:val="single" w:sz="24" w:space="0" w:color="auto"/>
              <w:right w:val="nil"/>
            </w:tcBorders>
          </w:tcPr>
          <w:p w14:paraId="23ACF291" w14:textId="29D8A7E2" w:rsidR="000A14A1" w:rsidRPr="00781F4C" w:rsidRDefault="00107B28" w:rsidP="00107B28">
            <w:pPr>
              <w:rPr>
                <w:rFonts w:asciiTheme="majorBidi" w:hAnsiTheme="majorBidi" w:cstheme="majorBidi"/>
                <w:sz w:val="16"/>
                <w:szCs w:val="16"/>
                <w:rtl/>
                <w:lang w:val="en-US" w:eastAsia="en-US"/>
              </w:rPr>
            </w:pPr>
            <w:r w:rsidRPr="00781F4C">
              <w:rPr>
                <w:rFonts w:asciiTheme="majorBidi" w:hAnsiTheme="majorBidi" w:cstheme="majorBidi"/>
                <w:sz w:val="16"/>
                <w:szCs w:val="16"/>
                <w:lang w:val="en-US" w:eastAsia="en-US"/>
              </w:rPr>
              <w:t>Indonesia, India</w:t>
            </w:r>
          </w:p>
        </w:tc>
        <w:tc>
          <w:tcPr>
            <w:tcW w:w="3154" w:type="dxa"/>
            <w:tcBorders>
              <w:top w:val="nil"/>
              <w:left w:val="nil"/>
              <w:bottom w:val="single" w:sz="24" w:space="0" w:color="auto"/>
              <w:right w:val="nil"/>
            </w:tcBorders>
          </w:tcPr>
          <w:p w14:paraId="3CE25874" w14:textId="77777777" w:rsidR="000A14A1" w:rsidRPr="00781F4C" w:rsidRDefault="000A14A1" w:rsidP="000A14A1">
            <w:pPr>
              <w:jc w:val="center"/>
              <w:rPr>
                <w:rFonts w:asciiTheme="majorBidi" w:hAnsiTheme="majorBidi" w:cstheme="majorBidi"/>
                <w:sz w:val="16"/>
                <w:szCs w:val="16"/>
                <w:rtl/>
                <w:lang w:val="en-US"/>
              </w:rPr>
            </w:pPr>
            <w:r w:rsidRPr="00781F4C">
              <w:rPr>
                <w:rStyle w:val="fontstyle01"/>
                <w:rFonts w:asciiTheme="majorBidi" w:hAnsiTheme="majorBidi"/>
                <w:color w:val="auto"/>
                <w:sz w:val="16"/>
                <w:szCs w:val="16"/>
                <w:lang w:val="en-US"/>
              </w:rPr>
              <w:t>The upper 90th quantile group</w:t>
            </w:r>
          </w:p>
        </w:tc>
      </w:tr>
      <w:tr w:rsidR="005737CD" w:rsidRPr="00781F4C" w14:paraId="64CDAD2C" w14:textId="77777777" w:rsidTr="00CF6916">
        <w:trPr>
          <w:trHeight w:val="263"/>
          <w:jc w:val="center"/>
        </w:trPr>
        <w:tc>
          <w:tcPr>
            <w:tcW w:w="9232" w:type="dxa"/>
            <w:gridSpan w:val="2"/>
            <w:tcBorders>
              <w:top w:val="single" w:sz="24" w:space="0" w:color="auto"/>
              <w:left w:val="nil"/>
              <w:bottom w:val="nil"/>
              <w:right w:val="nil"/>
            </w:tcBorders>
          </w:tcPr>
          <w:p w14:paraId="7FD3360E" w14:textId="49A3EE4F" w:rsidR="000A14A1" w:rsidRPr="00781F4C" w:rsidRDefault="000A14A1" w:rsidP="000A14A1">
            <w:pPr>
              <w:rPr>
                <w:rStyle w:val="fontstyle01"/>
                <w:rFonts w:asciiTheme="majorBidi" w:hAnsiTheme="majorBidi"/>
                <w:color w:val="auto"/>
                <w:sz w:val="16"/>
                <w:szCs w:val="16"/>
                <w:lang w:val="en-US"/>
              </w:rPr>
            </w:pPr>
            <w:r w:rsidRPr="00781F4C">
              <w:rPr>
                <w:rFonts w:asciiTheme="majorBidi" w:hAnsiTheme="majorBidi" w:cstheme="majorBidi"/>
                <w:sz w:val="16"/>
                <w:szCs w:val="16"/>
                <w:lang w:val="en-US"/>
              </w:rPr>
              <w:t xml:space="preserve">Notes: According to the level of ecological footprint, we divided </w:t>
            </w:r>
            <w:r w:rsidRPr="00781F4C">
              <w:rPr>
                <w:sz w:val="16"/>
                <w:szCs w:val="16"/>
                <w:lang w:val="en-US"/>
              </w:rPr>
              <w:t>the panel of</w:t>
            </w:r>
            <w:r w:rsidR="00107B28" w:rsidRPr="00781F4C">
              <w:rPr>
                <w:rFonts w:asciiTheme="majorBidi" w:hAnsiTheme="majorBidi" w:cstheme="majorBidi"/>
                <w:sz w:val="16"/>
                <w:szCs w:val="16"/>
                <w:lang w:val="en-US"/>
              </w:rPr>
              <w:t xml:space="preserve"> 20</w:t>
            </w:r>
            <w:r w:rsidRPr="00781F4C">
              <w:rPr>
                <w:rFonts w:asciiTheme="majorBidi" w:hAnsiTheme="majorBidi" w:cstheme="majorBidi"/>
                <w:sz w:val="16"/>
                <w:szCs w:val="16"/>
                <w:lang w:val="en-US"/>
              </w:rPr>
              <w:t xml:space="preserve"> countries into six grades.</w:t>
            </w:r>
          </w:p>
        </w:tc>
      </w:tr>
    </w:tbl>
    <w:p w14:paraId="41795504" w14:textId="77777777" w:rsidR="00835C3E" w:rsidRPr="00781F4C" w:rsidRDefault="00835C3E" w:rsidP="006E3EC8">
      <w:pPr>
        <w:jc w:val="both"/>
        <w:rPr>
          <w:sz w:val="20"/>
          <w:szCs w:val="20"/>
          <w:lang w:val="en-US"/>
        </w:rPr>
      </w:pPr>
    </w:p>
    <w:p w14:paraId="0E3A114C" w14:textId="1E2F0AE6" w:rsidR="003F6D44" w:rsidRPr="00781F4C" w:rsidRDefault="00107D13" w:rsidP="00CB3FC0">
      <w:pPr>
        <w:ind w:firstLine="284"/>
        <w:jc w:val="both"/>
        <w:rPr>
          <w:rFonts w:asciiTheme="majorBidi" w:hAnsiTheme="majorBidi" w:cstheme="majorBidi"/>
          <w:sz w:val="20"/>
          <w:szCs w:val="20"/>
          <w:lang w:val="en-US" w:bidi="fa-IR"/>
        </w:rPr>
      </w:pPr>
      <w:r w:rsidRPr="00781F4C">
        <w:rPr>
          <w:rFonts w:asciiTheme="majorBidi" w:hAnsiTheme="majorBidi" w:cstheme="majorBidi"/>
          <w:sz w:val="20"/>
          <w:szCs w:val="20"/>
          <w:lang w:val="en-US" w:bidi="fa-IR"/>
        </w:rPr>
        <w:t>As shown in Table 8</w:t>
      </w:r>
      <w:r w:rsidR="00B74EE5" w:rsidRPr="00781F4C">
        <w:rPr>
          <w:rFonts w:asciiTheme="majorBidi" w:hAnsiTheme="majorBidi" w:cstheme="majorBidi"/>
          <w:sz w:val="20"/>
          <w:szCs w:val="20"/>
          <w:lang w:val="en-US" w:bidi="fa-IR"/>
        </w:rPr>
        <w:t>, the effect of export quality on ecological footprint is negative and significant in all quantiles. The results show that this effect is greater at lower quantile levels.</w:t>
      </w:r>
      <w:r w:rsidR="003F6D44" w:rsidRPr="00781F4C">
        <w:t xml:space="preserve"> </w:t>
      </w:r>
      <w:r w:rsidR="006F25AD" w:rsidRPr="00781F4C">
        <w:rPr>
          <w:sz w:val="20"/>
          <w:szCs w:val="20"/>
          <w:lang w:val="en-US"/>
        </w:rPr>
        <w:t>In addition, the experimental results of this study show that a one percent increase in export quality in Quantile 10</w:t>
      </w:r>
      <w:proofErr w:type="gramStart"/>
      <w:r w:rsidR="006F25AD" w:rsidRPr="00781F4C">
        <w:rPr>
          <w:sz w:val="20"/>
          <w:szCs w:val="20"/>
          <w:vertAlign w:val="superscript"/>
          <w:lang w:val="en-US"/>
        </w:rPr>
        <w:t>th</w:t>
      </w:r>
      <w:r w:rsidR="006F25AD" w:rsidRPr="00781F4C">
        <w:rPr>
          <w:sz w:val="20"/>
          <w:szCs w:val="20"/>
          <w:lang w:val="en-US"/>
        </w:rPr>
        <w:t xml:space="preserve">  reduces</w:t>
      </w:r>
      <w:proofErr w:type="gramEnd"/>
      <w:r w:rsidR="006F25AD" w:rsidRPr="00781F4C">
        <w:rPr>
          <w:sz w:val="20"/>
          <w:szCs w:val="20"/>
          <w:lang w:val="en-US"/>
        </w:rPr>
        <w:t xml:space="preserve"> the ecological footprint by 3.81 percent. This is a significant amount. Hence, it can be said that the quality of the environment throughout the developing economies of Asia reacts strongly to changes in the quality of export products. Therefore, increasing the quality of export products helps to improve the quality of the environment in these countries. </w:t>
      </w:r>
      <w:r w:rsidR="00B26EA7" w:rsidRPr="00781F4C">
        <w:rPr>
          <w:rFonts w:asciiTheme="majorBidi" w:hAnsiTheme="majorBidi" w:cstheme="majorBidi"/>
          <w:sz w:val="20"/>
          <w:szCs w:val="20"/>
          <w:lang w:val="en-US" w:bidi="fa-IR"/>
        </w:rPr>
        <w:t>Increasing the quality of export products increases the international competition potential and the share of countries' trade. As the share of countries' international trade increases, the income of these countries increases. Therefore, increasing income leads to</w:t>
      </w:r>
      <w:r w:rsidR="00F03EA2" w:rsidRPr="00781F4C">
        <w:rPr>
          <w:rFonts w:asciiTheme="majorBidi" w:hAnsiTheme="majorBidi" w:cstheme="majorBidi"/>
          <w:sz w:val="20"/>
          <w:szCs w:val="20"/>
          <w:lang w:val="en-US" w:bidi="fa-IR"/>
        </w:rPr>
        <w:t xml:space="preserve"> an</w:t>
      </w:r>
      <w:r w:rsidR="00B26EA7" w:rsidRPr="00781F4C">
        <w:rPr>
          <w:rFonts w:asciiTheme="majorBidi" w:hAnsiTheme="majorBidi" w:cstheme="majorBidi"/>
          <w:sz w:val="20"/>
          <w:szCs w:val="20"/>
          <w:lang w:val="en-US" w:bidi="fa-IR"/>
        </w:rPr>
        <w:t xml:space="preserve"> improved production process</w:t>
      </w:r>
      <w:r w:rsidR="00F03EA2" w:rsidRPr="00781F4C">
        <w:rPr>
          <w:rFonts w:asciiTheme="majorBidi" w:hAnsiTheme="majorBidi" w:cstheme="majorBidi"/>
          <w:sz w:val="20"/>
          <w:szCs w:val="20"/>
          <w:lang w:val="en-US" w:bidi="fa-IR"/>
        </w:rPr>
        <w:t>es</w:t>
      </w:r>
      <w:r w:rsidR="00B26EA7" w:rsidRPr="00781F4C">
        <w:rPr>
          <w:rFonts w:asciiTheme="majorBidi" w:hAnsiTheme="majorBidi" w:cstheme="majorBidi"/>
          <w:sz w:val="20"/>
          <w:szCs w:val="20"/>
          <w:lang w:val="en-US" w:bidi="fa-IR"/>
        </w:rPr>
        <w:t xml:space="preserve"> and more use of green technologies, which helps to improve the environment.</w:t>
      </w:r>
      <w:r w:rsidR="004047CD" w:rsidRPr="00781F4C">
        <w:rPr>
          <w:rFonts w:asciiTheme="majorBidi" w:hAnsiTheme="majorBidi" w:cstheme="majorBidi"/>
          <w:sz w:val="20"/>
          <w:szCs w:val="20"/>
          <w:lang w:val="en-US" w:bidi="fa-IR"/>
        </w:rPr>
        <w:t xml:space="preserve"> </w:t>
      </w:r>
      <w:r w:rsidR="003F6D44" w:rsidRPr="00781F4C">
        <w:rPr>
          <w:rFonts w:asciiTheme="majorBidi" w:hAnsiTheme="majorBidi" w:cstheme="majorBidi"/>
          <w:sz w:val="20"/>
          <w:szCs w:val="20"/>
          <w:lang w:val="en-US" w:bidi="fa-IR"/>
        </w:rPr>
        <w:t>Some studies suppor</w:t>
      </w:r>
      <w:r w:rsidRPr="00781F4C">
        <w:rPr>
          <w:rFonts w:asciiTheme="majorBidi" w:hAnsiTheme="majorBidi" w:cstheme="majorBidi"/>
          <w:sz w:val="20"/>
          <w:szCs w:val="20"/>
          <w:lang w:val="en-US" w:bidi="fa-IR"/>
        </w:rPr>
        <w:t>t the findings of this study</w:t>
      </w:r>
      <w:r w:rsidR="003F6D44" w:rsidRPr="00781F4C">
        <w:rPr>
          <w:rFonts w:asciiTheme="majorBidi" w:hAnsiTheme="majorBidi" w:cstheme="majorBidi"/>
          <w:sz w:val="20"/>
          <w:szCs w:val="20"/>
          <w:lang w:val="en-US" w:bidi="fa-IR"/>
        </w:rPr>
        <w:t xml:space="preserve">. </w:t>
      </w:r>
      <w:proofErr w:type="spellStart"/>
      <w:r w:rsidR="003F6D44" w:rsidRPr="00781F4C">
        <w:rPr>
          <w:rFonts w:asciiTheme="majorBidi" w:hAnsiTheme="majorBidi" w:cstheme="majorBidi"/>
          <w:sz w:val="20"/>
          <w:szCs w:val="20"/>
          <w:lang w:val="en-US" w:bidi="fa-IR"/>
        </w:rPr>
        <w:t>Gozgor</w:t>
      </w:r>
      <w:proofErr w:type="spellEnd"/>
      <w:r w:rsidR="003F6D44" w:rsidRPr="00781F4C">
        <w:rPr>
          <w:rFonts w:asciiTheme="majorBidi" w:hAnsiTheme="majorBidi" w:cstheme="majorBidi"/>
          <w:sz w:val="20"/>
          <w:szCs w:val="20"/>
          <w:lang w:val="en-US" w:bidi="fa-IR"/>
        </w:rPr>
        <w:t xml:space="preserve"> and Can (2017) also in a study for China found that </w:t>
      </w:r>
      <w:r w:rsidRPr="00781F4C">
        <w:rPr>
          <w:sz w:val="20"/>
          <w:szCs w:val="20"/>
          <w:lang w:val="en-GB"/>
        </w:rPr>
        <w:t>CO</w:t>
      </w:r>
      <w:r w:rsidRPr="00781F4C">
        <w:rPr>
          <w:sz w:val="20"/>
          <w:szCs w:val="20"/>
          <w:vertAlign w:val="subscript"/>
          <w:lang w:val="en-GB"/>
        </w:rPr>
        <w:t>2</w:t>
      </w:r>
      <w:r w:rsidR="003F6D44" w:rsidRPr="00781F4C">
        <w:rPr>
          <w:rFonts w:asciiTheme="majorBidi" w:hAnsiTheme="majorBidi" w:cstheme="majorBidi"/>
          <w:sz w:val="20"/>
          <w:szCs w:val="20"/>
          <w:lang w:val="en-US" w:bidi="fa-IR"/>
        </w:rPr>
        <w:t xml:space="preserve"> emissions decrease as the quality of trade increases. Murshed and Dao (2020) also confirm these results in a study of selected South Asian economies (Bangladesh, India, Pakistan, Sri Lanka, and Nepal). They found that improving export quality reduced </w:t>
      </w:r>
      <w:r w:rsidRPr="00781F4C">
        <w:rPr>
          <w:sz w:val="20"/>
          <w:szCs w:val="20"/>
          <w:lang w:val="en-GB"/>
        </w:rPr>
        <w:t>CO</w:t>
      </w:r>
      <w:r w:rsidRPr="00781F4C">
        <w:rPr>
          <w:sz w:val="20"/>
          <w:szCs w:val="20"/>
          <w:vertAlign w:val="subscript"/>
          <w:lang w:val="en-GB"/>
        </w:rPr>
        <w:t>2</w:t>
      </w:r>
      <w:r w:rsidR="003F6D44" w:rsidRPr="00781F4C">
        <w:rPr>
          <w:rFonts w:asciiTheme="majorBidi" w:hAnsiTheme="majorBidi" w:cstheme="majorBidi"/>
          <w:sz w:val="20"/>
          <w:szCs w:val="20"/>
          <w:lang w:val="en-US" w:bidi="fa-IR"/>
        </w:rPr>
        <w:t xml:space="preserve"> emissions and improved the environment.</w:t>
      </w:r>
      <w:r w:rsidR="00B26EA7" w:rsidRPr="00781F4C">
        <w:rPr>
          <w:rFonts w:asciiTheme="majorBidi" w:hAnsiTheme="majorBidi" w:cstheme="majorBidi"/>
          <w:sz w:val="20"/>
          <w:szCs w:val="20"/>
          <w:lang w:val="en-US" w:bidi="fa-IR"/>
        </w:rPr>
        <w:t xml:space="preserve"> </w:t>
      </w:r>
      <w:r w:rsidR="00CA6446" w:rsidRPr="00781F4C">
        <w:rPr>
          <w:rFonts w:asciiTheme="majorBidi" w:hAnsiTheme="majorBidi" w:cstheme="majorBidi"/>
          <w:sz w:val="20"/>
          <w:szCs w:val="20"/>
          <w:lang w:val="en-US" w:bidi="fa-IR"/>
        </w:rPr>
        <w:t>Some studies have found a positive relationship between export quality and environmental degradation (</w:t>
      </w:r>
      <w:r w:rsidR="00CA3DDC" w:rsidRPr="00781F4C">
        <w:rPr>
          <w:rFonts w:asciiTheme="majorBidi" w:hAnsiTheme="majorBidi" w:cstheme="majorBidi"/>
          <w:sz w:val="20"/>
          <w:szCs w:val="20"/>
          <w:lang w:val="en-US" w:bidi="fa-IR"/>
        </w:rPr>
        <w:t>Fang et al.</w:t>
      </w:r>
      <w:r w:rsidR="00213959" w:rsidRPr="00781F4C">
        <w:rPr>
          <w:rFonts w:asciiTheme="majorBidi" w:hAnsiTheme="majorBidi" w:cstheme="majorBidi"/>
          <w:sz w:val="20"/>
          <w:szCs w:val="20"/>
          <w:lang w:val="en-US" w:bidi="fa-IR"/>
        </w:rPr>
        <w:t>,</w:t>
      </w:r>
      <w:r w:rsidR="00CA6446" w:rsidRPr="00781F4C">
        <w:rPr>
          <w:rFonts w:asciiTheme="majorBidi" w:hAnsiTheme="majorBidi" w:cstheme="majorBidi"/>
          <w:sz w:val="20"/>
          <w:szCs w:val="20"/>
          <w:lang w:val="en-US" w:bidi="fa-IR"/>
        </w:rPr>
        <w:t xml:space="preserve"> 20</w:t>
      </w:r>
      <w:r w:rsidR="00CA3DDC" w:rsidRPr="00781F4C">
        <w:rPr>
          <w:rFonts w:asciiTheme="majorBidi" w:hAnsiTheme="majorBidi" w:cstheme="majorBidi"/>
          <w:sz w:val="20"/>
          <w:szCs w:val="20"/>
          <w:lang w:val="en-US" w:bidi="fa-IR"/>
        </w:rPr>
        <w:t>19: Wang et al.</w:t>
      </w:r>
      <w:r w:rsidR="00213959" w:rsidRPr="00781F4C">
        <w:rPr>
          <w:rFonts w:asciiTheme="majorBidi" w:hAnsiTheme="majorBidi" w:cstheme="majorBidi"/>
          <w:sz w:val="20"/>
          <w:szCs w:val="20"/>
          <w:lang w:val="en-US" w:bidi="fa-IR"/>
        </w:rPr>
        <w:t>,</w:t>
      </w:r>
      <w:r w:rsidR="00CA6446" w:rsidRPr="00781F4C">
        <w:rPr>
          <w:rFonts w:asciiTheme="majorBidi" w:hAnsiTheme="majorBidi" w:cstheme="majorBidi"/>
          <w:sz w:val="20"/>
          <w:szCs w:val="20"/>
          <w:lang w:val="en-US" w:bidi="fa-IR"/>
        </w:rPr>
        <w:t xml:space="preserve"> 2021).</w:t>
      </w:r>
      <w:r w:rsidRPr="00781F4C">
        <w:rPr>
          <w:rFonts w:asciiTheme="majorBidi" w:hAnsiTheme="majorBidi" w:cstheme="majorBidi"/>
          <w:sz w:val="20"/>
          <w:szCs w:val="20"/>
          <w:lang w:val="en-US" w:bidi="fa-IR"/>
        </w:rPr>
        <w:t xml:space="preserve"> </w:t>
      </w:r>
    </w:p>
    <w:p w14:paraId="13020B69" w14:textId="77777777" w:rsidR="009A5DC4" w:rsidRPr="00781F4C" w:rsidRDefault="009A5DC4" w:rsidP="00CB3FC0">
      <w:pPr>
        <w:ind w:firstLine="284"/>
        <w:jc w:val="both"/>
        <w:rPr>
          <w:rFonts w:asciiTheme="majorBidi" w:hAnsiTheme="majorBidi" w:cstheme="majorBidi"/>
          <w:sz w:val="20"/>
          <w:szCs w:val="20"/>
          <w:lang w:val="en-US" w:bidi="fa-IR"/>
        </w:rPr>
      </w:pPr>
    </w:p>
    <w:p w14:paraId="42319304" w14:textId="30B2A128" w:rsidR="009A5DC4" w:rsidRPr="00781F4C" w:rsidRDefault="009A5DC4" w:rsidP="009A5DC4">
      <w:pPr>
        <w:jc w:val="both"/>
        <w:rPr>
          <w:rFonts w:asciiTheme="majorBidi" w:hAnsiTheme="majorBidi" w:cstheme="majorBidi"/>
          <w:sz w:val="20"/>
          <w:szCs w:val="20"/>
          <w:lang w:val="en-US" w:bidi="fa-IR"/>
        </w:rPr>
      </w:pPr>
      <w:r w:rsidRPr="00781F4C">
        <w:rPr>
          <w:rFonts w:asciiTheme="majorBidi" w:hAnsiTheme="majorBidi" w:cstheme="majorBidi"/>
          <w:sz w:val="20"/>
          <w:szCs w:val="20"/>
          <w:lang w:val="en-US" w:bidi="fa-IR"/>
        </w:rPr>
        <w:t>The results of Fertility rate on ecological footprint indicate that in all quantiles Fertility rate has a negative and significant effect on ecological footprint.</w:t>
      </w:r>
      <w:r w:rsidRPr="00781F4C">
        <w:t xml:space="preserve"> </w:t>
      </w:r>
      <w:r w:rsidRPr="00781F4C">
        <w:rPr>
          <w:rFonts w:asciiTheme="majorBidi" w:hAnsiTheme="majorBidi" w:cstheme="majorBidi"/>
          <w:sz w:val="20"/>
          <w:szCs w:val="20"/>
          <w:lang w:val="en-US" w:bidi="fa-IR"/>
        </w:rPr>
        <w:t>The results show that by increasing the fertility rate by 1%, in Quantile 10</w:t>
      </w:r>
      <w:r w:rsidRPr="00781F4C">
        <w:rPr>
          <w:rFonts w:asciiTheme="majorBidi" w:hAnsiTheme="majorBidi" w:cstheme="majorBidi"/>
          <w:sz w:val="20"/>
          <w:szCs w:val="20"/>
          <w:vertAlign w:val="superscript"/>
          <w:lang w:val="en-US" w:bidi="fa-IR"/>
        </w:rPr>
        <w:t>th</w:t>
      </w:r>
      <w:r w:rsidRPr="00781F4C">
        <w:rPr>
          <w:rFonts w:asciiTheme="majorBidi" w:hAnsiTheme="majorBidi" w:cstheme="majorBidi"/>
          <w:sz w:val="20"/>
          <w:szCs w:val="20"/>
          <w:lang w:val="en-US" w:bidi="fa-IR"/>
        </w:rPr>
        <w:t xml:space="preserve">, the ecological footprint decreases by about 2.27%. Therefore, policymakers in these countries to protect the environment should adopt policies to promote fertility rate. Toth and Szigeti </w:t>
      </w:r>
      <w:r w:rsidR="00997894">
        <w:rPr>
          <w:rFonts w:asciiTheme="majorBidi" w:hAnsiTheme="majorBidi" w:cstheme="majorBidi"/>
          <w:sz w:val="20"/>
          <w:szCs w:val="20"/>
          <w:lang w:val="en-US" w:bidi="fa-IR"/>
        </w:rPr>
        <w:t>(</w:t>
      </w:r>
      <w:r w:rsidRPr="00781F4C">
        <w:rPr>
          <w:rFonts w:asciiTheme="majorBidi" w:hAnsiTheme="majorBidi" w:cstheme="majorBidi"/>
          <w:sz w:val="20"/>
          <w:szCs w:val="20"/>
          <w:lang w:val="en-US" w:bidi="fa-IR"/>
        </w:rPr>
        <w:t>2016</w:t>
      </w:r>
      <w:r w:rsidR="00997894">
        <w:rPr>
          <w:rFonts w:asciiTheme="majorBidi" w:hAnsiTheme="majorBidi" w:cstheme="majorBidi"/>
          <w:sz w:val="20"/>
          <w:szCs w:val="20"/>
          <w:lang w:val="en-US" w:bidi="fa-IR"/>
        </w:rPr>
        <w:t>)</w:t>
      </w:r>
      <w:r w:rsidRPr="00781F4C">
        <w:rPr>
          <w:rFonts w:asciiTheme="majorBidi" w:hAnsiTheme="majorBidi" w:cstheme="majorBidi"/>
          <w:sz w:val="20"/>
          <w:szCs w:val="20"/>
          <w:lang w:val="en-US" w:bidi="fa-IR"/>
        </w:rPr>
        <w:t xml:space="preserve"> found that the main cause of environmental degradation and increased ecological footprint was consumption patterns, not population growth. Therefore, the results of this study are somewhat consistent with their study</w:t>
      </w:r>
      <w:r w:rsidRPr="00781F4C">
        <w:t xml:space="preserve"> </w:t>
      </w:r>
      <w:r w:rsidRPr="00781F4C">
        <w:rPr>
          <w:rFonts w:asciiTheme="majorBidi" w:hAnsiTheme="majorBidi" w:cstheme="majorBidi"/>
          <w:sz w:val="20"/>
          <w:szCs w:val="20"/>
          <w:lang w:val="en-US" w:bidi="fa-IR"/>
        </w:rPr>
        <w:t xml:space="preserve">results. Alola et al (2019) also discovered similar results from this study. As the fertility rate increases, so does the number of skilled and innovative people, which in turn helps to increase the production of environmentally friendly technologies. </w:t>
      </w:r>
    </w:p>
    <w:p w14:paraId="3C2FA8E2" w14:textId="77777777" w:rsidR="009A5DC4" w:rsidRPr="00781F4C" w:rsidRDefault="009A5DC4" w:rsidP="00B26EA7">
      <w:pPr>
        <w:ind w:firstLine="720"/>
        <w:jc w:val="both"/>
        <w:rPr>
          <w:rFonts w:asciiTheme="majorBidi" w:hAnsiTheme="majorBidi" w:cstheme="majorBidi"/>
          <w:sz w:val="20"/>
          <w:szCs w:val="20"/>
          <w:lang w:val="en-US" w:bidi="fa-IR"/>
        </w:rPr>
      </w:pPr>
    </w:p>
    <w:p w14:paraId="00F26235" w14:textId="4FDD482F" w:rsidR="0039625E" w:rsidRPr="00781F4C" w:rsidRDefault="00021F38" w:rsidP="006F25AD">
      <w:pPr>
        <w:ind w:firstLine="284"/>
        <w:jc w:val="both"/>
        <w:rPr>
          <w:rFonts w:asciiTheme="majorBidi" w:hAnsiTheme="majorBidi" w:cstheme="majorBidi"/>
          <w:lang w:val="en-US" w:bidi="fa-IR"/>
        </w:rPr>
      </w:pPr>
      <w:r w:rsidRPr="00781F4C">
        <w:rPr>
          <w:rFonts w:asciiTheme="majorBidi" w:hAnsiTheme="majorBidi" w:cstheme="majorBidi"/>
          <w:sz w:val="20"/>
          <w:szCs w:val="20"/>
          <w:lang w:val="en-US" w:bidi="fa-IR"/>
        </w:rPr>
        <w:t>The trade openness variable in all quantiles has a negative and statistically significant effect on the ecological footprint</w:t>
      </w:r>
      <w:r w:rsidR="00C12CFE" w:rsidRPr="00781F4C">
        <w:rPr>
          <w:rFonts w:asciiTheme="majorBidi" w:hAnsiTheme="majorBidi" w:cstheme="majorBidi"/>
          <w:sz w:val="20"/>
          <w:szCs w:val="20"/>
          <w:lang w:val="en-US" w:bidi="fa-IR"/>
        </w:rPr>
        <w:t xml:space="preserve"> (see table 8)</w:t>
      </w:r>
      <w:r w:rsidRPr="00781F4C">
        <w:rPr>
          <w:rFonts w:asciiTheme="majorBidi" w:hAnsiTheme="majorBidi" w:cstheme="majorBidi"/>
          <w:sz w:val="20"/>
          <w:szCs w:val="20"/>
          <w:lang w:val="en-US" w:bidi="fa-IR"/>
        </w:rPr>
        <w:t>. This means that as trade liberalization increases, the environment improves. In addition, the results show that this effect is greater at higher quantile levels.</w:t>
      </w:r>
      <w:r w:rsidR="004047CD" w:rsidRPr="00781F4C">
        <w:t xml:space="preserve"> </w:t>
      </w:r>
      <w:r w:rsidR="004047CD" w:rsidRPr="00781F4C">
        <w:rPr>
          <w:rFonts w:asciiTheme="majorBidi" w:hAnsiTheme="majorBidi" w:cstheme="majorBidi"/>
          <w:sz w:val="20"/>
          <w:szCs w:val="20"/>
          <w:lang w:val="en-US" w:bidi="fa-IR"/>
        </w:rPr>
        <w:t>Increasing trade openness in developing countries will lead to the transfer of more advanced and environmentally friendly technologies from developed countries to these countries, which will improve the environment. Some studies support these results</w:t>
      </w:r>
      <w:r w:rsidR="006F25AD" w:rsidRPr="00781F4C">
        <w:rPr>
          <w:rFonts w:asciiTheme="majorBidi" w:hAnsiTheme="majorBidi" w:cstheme="majorBidi"/>
          <w:sz w:val="20"/>
          <w:szCs w:val="20"/>
          <w:lang w:val="en-US" w:bidi="fa-IR"/>
        </w:rPr>
        <w:t xml:space="preserve"> (Zhang et al, 2017: Ahmed et al, 2016: </w:t>
      </w:r>
      <w:proofErr w:type="spellStart"/>
      <w:r w:rsidR="006F25AD" w:rsidRPr="00781F4C">
        <w:rPr>
          <w:rFonts w:asciiTheme="majorBidi" w:hAnsiTheme="majorBidi" w:cstheme="majorBidi"/>
          <w:sz w:val="20"/>
          <w:szCs w:val="20"/>
          <w:lang w:val="en-US" w:bidi="fa-IR"/>
        </w:rPr>
        <w:t>Sbia</w:t>
      </w:r>
      <w:proofErr w:type="spellEnd"/>
      <w:r w:rsidR="006F25AD" w:rsidRPr="00781F4C">
        <w:rPr>
          <w:rFonts w:asciiTheme="majorBidi" w:hAnsiTheme="majorBidi" w:cstheme="majorBidi"/>
          <w:sz w:val="20"/>
          <w:szCs w:val="20"/>
          <w:lang w:val="en-US" w:bidi="fa-IR"/>
        </w:rPr>
        <w:t xml:space="preserve"> et al, 2014: Baek et al, 2009: Frankel &amp; Rose, 2005).</w:t>
      </w:r>
      <w:r w:rsidR="003D6E7B" w:rsidRPr="00781F4C">
        <w:rPr>
          <w:rFonts w:asciiTheme="majorBidi" w:hAnsiTheme="majorBidi" w:cstheme="majorBidi"/>
          <w:sz w:val="20"/>
          <w:szCs w:val="20"/>
          <w:lang w:val="en-US" w:bidi="fa-IR"/>
        </w:rPr>
        <w:t xml:space="preserve"> </w:t>
      </w:r>
      <w:proofErr w:type="spellStart"/>
      <w:r w:rsidR="0039625E" w:rsidRPr="00781F4C">
        <w:rPr>
          <w:rFonts w:asciiTheme="majorBidi" w:hAnsiTheme="majorBidi" w:cstheme="majorBidi"/>
          <w:sz w:val="20"/>
          <w:szCs w:val="20"/>
          <w:lang w:val="en-US" w:bidi="fa-IR"/>
        </w:rPr>
        <w:t>A</w:t>
      </w:r>
      <w:r w:rsidR="00055D0C" w:rsidRPr="00781F4C">
        <w:rPr>
          <w:rFonts w:asciiTheme="majorBidi" w:hAnsiTheme="majorBidi" w:cstheme="majorBidi"/>
          <w:sz w:val="20"/>
          <w:szCs w:val="20"/>
          <w:lang w:val="en-US" w:bidi="fa-IR"/>
        </w:rPr>
        <w:t>şıcı</w:t>
      </w:r>
      <w:proofErr w:type="spellEnd"/>
      <w:r w:rsidR="00055D0C" w:rsidRPr="00781F4C">
        <w:rPr>
          <w:rFonts w:asciiTheme="majorBidi" w:hAnsiTheme="majorBidi" w:cstheme="majorBidi"/>
          <w:sz w:val="20"/>
          <w:szCs w:val="20"/>
          <w:lang w:val="en-US" w:bidi="fa-IR"/>
        </w:rPr>
        <w:t xml:space="preserve"> and</w:t>
      </w:r>
      <w:r w:rsidR="003D6E7B" w:rsidRPr="00781F4C">
        <w:rPr>
          <w:rFonts w:asciiTheme="majorBidi" w:hAnsiTheme="majorBidi" w:cstheme="majorBidi"/>
          <w:sz w:val="20"/>
          <w:szCs w:val="20"/>
          <w:lang w:val="en-US" w:bidi="fa-IR"/>
        </w:rPr>
        <w:t xml:space="preserve"> Acar (2016) </w:t>
      </w:r>
      <w:r w:rsidR="0039625E" w:rsidRPr="00781F4C">
        <w:rPr>
          <w:rFonts w:asciiTheme="majorBidi" w:hAnsiTheme="majorBidi" w:cstheme="majorBidi"/>
          <w:sz w:val="20"/>
          <w:szCs w:val="20"/>
          <w:lang w:val="en-US" w:bidi="fa-IR"/>
        </w:rPr>
        <w:t>in a study of 116 count</w:t>
      </w:r>
      <w:r w:rsidR="003D6E7B" w:rsidRPr="00781F4C">
        <w:rPr>
          <w:rFonts w:asciiTheme="majorBidi" w:hAnsiTheme="majorBidi" w:cstheme="majorBidi"/>
          <w:sz w:val="20"/>
          <w:szCs w:val="20"/>
          <w:lang w:val="en-US" w:bidi="fa-IR"/>
        </w:rPr>
        <w:t>ries concluded</w:t>
      </w:r>
      <w:r w:rsidR="0039625E" w:rsidRPr="00781F4C">
        <w:rPr>
          <w:rFonts w:asciiTheme="majorBidi" w:hAnsiTheme="majorBidi" w:cstheme="majorBidi"/>
          <w:sz w:val="20"/>
          <w:szCs w:val="20"/>
          <w:lang w:val="en-US" w:bidi="fa-IR"/>
        </w:rPr>
        <w:t xml:space="preserve"> that trade openness reduces </w:t>
      </w:r>
      <w:r w:rsidR="003D6E7B" w:rsidRPr="00781F4C">
        <w:rPr>
          <w:rFonts w:asciiTheme="majorBidi" w:hAnsiTheme="majorBidi" w:cstheme="majorBidi"/>
          <w:sz w:val="20"/>
          <w:szCs w:val="20"/>
          <w:lang w:val="en-US" w:bidi="fa-IR"/>
        </w:rPr>
        <w:t>the ecological footprint</w:t>
      </w:r>
      <w:r w:rsidR="0039625E" w:rsidRPr="00781F4C">
        <w:rPr>
          <w:rFonts w:asciiTheme="majorBidi" w:hAnsiTheme="majorBidi" w:cstheme="majorBidi"/>
          <w:sz w:val="20"/>
          <w:szCs w:val="20"/>
          <w:lang w:val="en-US" w:bidi="fa-IR"/>
        </w:rPr>
        <w:t xml:space="preserve">. </w:t>
      </w:r>
      <w:r w:rsidR="003D6E7B" w:rsidRPr="00781F4C">
        <w:rPr>
          <w:rFonts w:asciiTheme="majorBidi" w:hAnsiTheme="majorBidi" w:cstheme="majorBidi"/>
          <w:sz w:val="20"/>
          <w:szCs w:val="20"/>
          <w:lang w:val="en-US" w:bidi="fa-IR"/>
        </w:rPr>
        <w:t>Some studies have reported different results</w:t>
      </w:r>
      <w:r w:rsidR="006F25AD" w:rsidRPr="00781F4C">
        <w:rPr>
          <w:rFonts w:asciiTheme="majorBidi" w:hAnsiTheme="majorBidi" w:cstheme="majorBidi"/>
          <w:sz w:val="20"/>
          <w:szCs w:val="20"/>
          <w:lang w:val="en-US" w:bidi="fa-IR"/>
        </w:rPr>
        <w:t xml:space="preserve"> (Ali et al, 2020: Al-</w:t>
      </w:r>
      <w:proofErr w:type="spellStart"/>
      <w:r w:rsidR="006F25AD" w:rsidRPr="00781F4C">
        <w:rPr>
          <w:rFonts w:asciiTheme="majorBidi" w:hAnsiTheme="majorBidi" w:cstheme="majorBidi"/>
          <w:sz w:val="20"/>
          <w:szCs w:val="20"/>
          <w:lang w:val="en-US" w:bidi="fa-IR"/>
        </w:rPr>
        <w:t>Mulali</w:t>
      </w:r>
      <w:proofErr w:type="spellEnd"/>
      <w:r w:rsidR="006F25AD" w:rsidRPr="00781F4C">
        <w:rPr>
          <w:rFonts w:asciiTheme="majorBidi" w:hAnsiTheme="majorBidi" w:cstheme="majorBidi"/>
          <w:sz w:val="20"/>
          <w:szCs w:val="20"/>
          <w:lang w:val="en-US" w:bidi="fa-IR"/>
        </w:rPr>
        <w:t xml:space="preserve"> et al, 2016)</w:t>
      </w:r>
      <w:r w:rsidR="003D6E7B" w:rsidRPr="00781F4C">
        <w:rPr>
          <w:rFonts w:asciiTheme="majorBidi" w:hAnsiTheme="majorBidi" w:cstheme="majorBidi"/>
          <w:sz w:val="20"/>
          <w:szCs w:val="20"/>
          <w:lang w:val="en-US" w:bidi="fa-IR"/>
        </w:rPr>
        <w:t xml:space="preserve">. </w:t>
      </w:r>
    </w:p>
    <w:p w14:paraId="46B3A885" w14:textId="77777777" w:rsidR="00161FBF" w:rsidRPr="00781F4C" w:rsidRDefault="00161FBF" w:rsidP="00E831E8">
      <w:pPr>
        <w:jc w:val="both"/>
        <w:rPr>
          <w:rFonts w:asciiTheme="majorBidi" w:hAnsiTheme="majorBidi" w:cstheme="majorBidi"/>
          <w:lang w:val="en-US" w:bidi="fa-IR"/>
        </w:rPr>
      </w:pPr>
    </w:p>
    <w:p w14:paraId="70136345" w14:textId="2D5F02B9" w:rsidR="00161FBF" w:rsidRPr="00781F4C" w:rsidRDefault="00161FBF" w:rsidP="00003527">
      <w:pPr>
        <w:ind w:firstLine="284"/>
        <w:jc w:val="both"/>
        <w:rPr>
          <w:rFonts w:asciiTheme="majorBidi" w:hAnsiTheme="majorBidi" w:cstheme="majorBidi"/>
          <w:sz w:val="20"/>
          <w:szCs w:val="20"/>
          <w:lang w:val="en-US" w:bidi="fa-IR"/>
        </w:rPr>
      </w:pPr>
      <w:r w:rsidRPr="00781F4C">
        <w:rPr>
          <w:rFonts w:asciiTheme="majorBidi" w:hAnsiTheme="majorBidi" w:cstheme="majorBidi"/>
          <w:sz w:val="20"/>
          <w:szCs w:val="20"/>
          <w:lang w:val="en-US" w:bidi="fa-IR"/>
        </w:rPr>
        <w:t>As shown in Ta</w:t>
      </w:r>
      <w:r w:rsidR="0030444C" w:rsidRPr="00781F4C">
        <w:rPr>
          <w:rFonts w:asciiTheme="majorBidi" w:hAnsiTheme="majorBidi" w:cstheme="majorBidi"/>
          <w:sz w:val="20"/>
          <w:szCs w:val="20"/>
          <w:lang w:val="en-US" w:bidi="fa-IR"/>
        </w:rPr>
        <w:t>ble 8</w:t>
      </w:r>
      <w:r w:rsidRPr="00781F4C">
        <w:rPr>
          <w:rFonts w:asciiTheme="majorBidi" w:hAnsiTheme="majorBidi" w:cstheme="majorBidi"/>
          <w:sz w:val="20"/>
          <w:szCs w:val="20"/>
          <w:lang w:val="en-US" w:bidi="fa-IR"/>
        </w:rPr>
        <w:t xml:space="preserve">, </w:t>
      </w:r>
      <w:r w:rsidR="00C7515D" w:rsidRPr="00781F4C">
        <w:rPr>
          <w:rFonts w:asciiTheme="majorBidi" w:hAnsiTheme="majorBidi" w:cstheme="majorBidi"/>
          <w:sz w:val="20"/>
          <w:szCs w:val="20"/>
          <w:lang w:val="en-US" w:bidi="fa-IR"/>
        </w:rPr>
        <w:t>t</w:t>
      </w:r>
      <w:r w:rsidRPr="00781F4C">
        <w:rPr>
          <w:rFonts w:asciiTheme="majorBidi" w:hAnsiTheme="majorBidi" w:cstheme="majorBidi"/>
          <w:sz w:val="20"/>
          <w:szCs w:val="20"/>
          <w:lang w:val="en-US" w:bidi="fa-IR"/>
        </w:rPr>
        <w:t>he urbanization at all levels of quantiles has a significant negative effect on the ecological footprint, and this effect is more significant at higher levels. So that 1% increase in urbanization causes a 3.319% decrease in ecological footprint at the level quantile 90th.</w:t>
      </w:r>
      <w:r w:rsidR="0087131C" w:rsidRPr="00781F4C">
        <w:rPr>
          <w:rFonts w:asciiTheme="majorBidi" w:hAnsiTheme="majorBidi" w:cstheme="majorBidi"/>
          <w:sz w:val="20"/>
          <w:szCs w:val="20"/>
          <w:lang w:val="en-US" w:bidi="fa-IR"/>
        </w:rPr>
        <w:t xml:space="preserve"> </w:t>
      </w:r>
      <w:r w:rsidR="00311C23" w:rsidRPr="00781F4C">
        <w:rPr>
          <w:rFonts w:asciiTheme="majorBidi" w:hAnsiTheme="majorBidi" w:cstheme="majorBidi"/>
          <w:sz w:val="20"/>
          <w:szCs w:val="20"/>
          <w:lang w:val="en-US" w:bidi="fa-IR"/>
        </w:rPr>
        <w:t xml:space="preserve">Increased urbanization leads to greater use of public transportation, which greatly helps to reduce </w:t>
      </w:r>
      <w:r w:rsidR="00C12CFE" w:rsidRPr="00781F4C">
        <w:rPr>
          <w:sz w:val="20"/>
          <w:szCs w:val="20"/>
          <w:lang w:val="en-GB"/>
        </w:rPr>
        <w:t>CO</w:t>
      </w:r>
      <w:r w:rsidR="00C12CFE" w:rsidRPr="00781F4C">
        <w:rPr>
          <w:sz w:val="20"/>
          <w:szCs w:val="20"/>
          <w:vertAlign w:val="subscript"/>
          <w:lang w:val="en-GB"/>
        </w:rPr>
        <w:t>2</w:t>
      </w:r>
      <w:r w:rsidR="00311C23" w:rsidRPr="00781F4C">
        <w:rPr>
          <w:rFonts w:asciiTheme="majorBidi" w:hAnsiTheme="majorBidi" w:cstheme="majorBidi"/>
          <w:sz w:val="20"/>
          <w:szCs w:val="20"/>
          <w:lang w:val="en-US" w:bidi="fa-IR"/>
        </w:rPr>
        <w:t xml:space="preserve"> emissions.</w:t>
      </w:r>
      <w:r w:rsidR="0087131C" w:rsidRPr="00781F4C">
        <w:rPr>
          <w:rFonts w:asciiTheme="majorBidi" w:hAnsiTheme="majorBidi" w:cstheme="majorBidi"/>
          <w:sz w:val="20"/>
          <w:szCs w:val="20"/>
          <w:lang w:val="en-US" w:bidi="fa-IR"/>
        </w:rPr>
        <w:t xml:space="preserve"> </w:t>
      </w:r>
      <w:r w:rsidR="00003527" w:rsidRPr="00781F4C">
        <w:rPr>
          <w:rFonts w:asciiTheme="majorBidi" w:hAnsiTheme="majorBidi" w:cstheme="majorBidi"/>
          <w:sz w:val="20"/>
          <w:szCs w:val="20"/>
          <w:lang w:val="en-US" w:bidi="fa-IR"/>
        </w:rPr>
        <w:t>Many studies confirm these results (</w:t>
      </w:r>
      <w:proofErr w:type="spellStart"/>
      <w:r w:rsidR="00003527" w:rsidRPr="00781F4C">
        <w:rPr>
          <w:rFonts w:asciiTheme="majorBidi" w:hAnsiTheme="majorBidi" w:cstheme="majorBidi"/>
          <w:sz w:val="20"/>
          <w:szCs w:val="20"/>
          <w:lang w:val="en-US" w:bidi="fa-IR"/>
        </w:rPr>
        <w:t>Lv</w:t>
      </w:r>
      <w:proofErr w:type="spellEnd"/>
      <w:r w:rsidR="00003527" w:rsidRPr="00781F4C">
        <w:rPr>
          <w:rFonts w:asciiTheme="majorBidi" w:hAnsiTheme="majorBidi" w:cstheme="majorBidi"/>
          <w:sz w:val="20"/>
          <w:szCs w:val="20"/>
          <w:lang w:val="en-US" w:bidi="fa-IR"/>
        </w:rPr>
        <w:t xml:space="preserve"> &amp; Xu, 2019: Saidi &amp; Mbarek, 2017: Sharma, 2011). </w:t>
      </w:r>
      <w:r w:rsidR="00311C23" w:rsidRPr="00781F4C">
        <w:rPr>
          <w:rFonts w:asciiTheme="majorBidi" w:hAnsiTheme="majorBidi" w:cstheme="majorBidi"/>
          <w:sz w:val="20"/>
          <w:szCs w:val="20"/>
          <w:lang w:val="en-US" w:bidi="fa-IR"/>
        </w:rPr>
        <w:t>However, some studies have found conflicting results</w:t>
      </w:r>
      <w:r w:rsidR="00003527" w:rsidRPr="00781F4C">
        <w:rPr>
          <w:rFonts w:asciiTheme="majorBidi" w:hAnsiTheme="majorBidi" w:cstheme="majorBidi"/>
          <w:sz w:val="20"/>
          <w:szCs w:val="20"/>
          <w:lang w:val="en-US" w:bidi="fa-IR"/>
        </w:rPr>
        <w:t xml:space="preserve"> (Wang &amp; Dogan, 2019: Wang et al, 2016)</w:t>
      </w:r>
      <w:r w:rsidR="00311C23" w:rsidRPr="00781F4C">
        <w:rPr>
          <w:rFonts w:asciiTheme="majorBidi" w:hAnsiTheme="majorBidi" w:cstheme="majorBidi"/>
          <w:sz w:val="20"/>
          <w:szCs w:val="20"/>
          <w:lang w:val="en-US" w:bidi="fa-IR"/>
        </w:rPr>
        <w:t xml:space="preserve">. </w:t>
      </w:r>
    </w:p>
    <w:p w14:paraId="496A2F4D" w14:textId="77777777" w:rsidR="00D77741" w:rsidRPr="00781F4C" w:rsidRDefault="00D77741" w:rsidP="006040A5">
      <w:pPr>
        <w:jc w:val="both"/>
        <w:rPr>
          <w:rFonts w:asciiTheme="majorBidi" w:hAnsiTheme="majorBidi" w:cstheme="majorBidi"/>
          <w:sz w:val="20"/>
          <w:szCs w:val="20"/>
          <w:lang w:val="en-US" w:bidi="fa-IR"/>
        </w:rPr>
      </w:pPr>
    </w:p>
    <w:p w14:paraId="3C305D04" w14:textId="03941C4A" w:rsidR="006040A5" w:rsidRPr="00781F4C" w:rsidRDefault="0034295E" w:rsidP="00400959">
      <w:pPr>
        <w:jc w:val="both"/>
        <w:rPr>
          <w:rFonts w:asciiTheme="majorBidi" w:hAnsiTheme="majorBidi" w:cstheme="majorBidi"/>
          <w:lang w:val="en-US" w:bidi="fa-IR"/>
        </w:rPr>
      </w:pPr>
      <w:r w:rsidRPr="00781F4C">
        <w:rPr>
          <w:rFonts w:asciiTheme="majorBidi" w:hAnsiTheme="majorBidi" w:cstheme="majorBidi"/>
          <w:sz w:val="20"/>
          <w:szCs w:val="20"/>
          <w:lang w:val="en-US" w:bidi="fa-IR"/>
        </w:rPr>
        <w:t>As expected, the relationship between GDP</w:t>
      </w:r>
      <w:r w:rsidR="00C12CFE" w:rsidRPr="00781F4C">
        <w:t xml:space="preserve"> </w:t>
      </w:r>
      <w:r w:rsidR="00C12CFE" w:rsidRPr="00781F4C">
        <w:rPr>
          <w:rFonts w:asciiTheme="majorBidi" w:hAnsiTheme="majorBidi" w:cstheme="majorBidi"/>
          <w:sz w:val="20"/>
          <w:szCs w:val="20"/>
          <w:lang w:val="en-US" w:bidi="fa-IR"/>
        </w:rPr>
        <w:t>per capita</w:t>
      </w:r>
      <w:r w:rsidRPr="00781F4C">
        <w:rPr>
          <w:rFonts w:asciiTheme="majorBidi" w:hAnsiTheme="majorBidi" w:cstheme="majorBidi"/>
          <w:sz w:val="20"/>
          <w:szCs w:val="20"/>
          <w:lang w:val="en-US" w:bidi="fa-IR"/>
        </w:rPr>
        <w:t xml:space="preserve"> and ecological footprint is positive. </w:t>
      </w:r>
      <w:r w:rsidR="0039625E" w:rsidRPr="00781F4C">
        <w:rPr>
          <w:rFonts w:asciiTheme="majorBidi" w:hAnsiTheme="majorBidi" w:cstheme="majorBidi"/>
          <w:sz w:val="20"/>
          <w:szCs w:val="20"/>
          <w:lang w:val="en-US" w:bidi="fa-IR"/>
        </w:rPr>
        <w:t xml:space="preserve">This effect is greater </w:t>
      </w:r>
      <w:r w:rsidRPr="00781F4C">
        <w:rPr>
          <w:rFonts w:asciiTheme="majorBidi" w:hAnsiTheme="majorBidi" w:cstheme="majorBidi"/>
          <w:sz w:val="20"/>
          <w:szCs w:val="20"/>
          <w:lang w:val="en-US" w:bidi="fa-IR"/>
        </w:rPr>
        <w:t>in 90th quantile</w:t>
      </w:r>
      <w:r w:rsidR="0039625E" w:rsidRPr="00781F4C">
        <w:rPr>
          <w:rFonts w:asciiTheme="majorBidi" w:hAnsiTheme="majorBidi" w:cstheme="majorBidi"/>
          <w:sz w:val="20"/>
          <w:szCs w:val="20"/>
          <w:lang w:val="en-US" w:bidi="fa-IR"/>
        </w:rPr>
        <w:t>. So that 1% increase in GDP in t</w:t>
      </w:r>
      <w:r w:rsidRPr="00781F4C">
        <w:rPr>
          <w:rFonts w:asciiTheme="majorBidi" w:hAnsiTheme="majorBidi" w:cstheme="majorBidi"/>
          <w:sz w:val="20"/>
          <w:szCs w:val="20"/>
          <w:lang w:val="en-US" w:bidi="fa-IR"/>
        </w:rPr>
        <w:t>he 90th quantile causes a 0.416</w:t>
      </w:r>
      <w:r w:rsidR="0039625E" w:rsidRPr="00781F4C">
        <w:rPr>
          <w:rFonts w:asciiTheme="majorBidi" w:hAnsiTheme="majorBidi" w:cstheme="majorBidi"/>
          <w:sz w:val="20"/>
          <w:szCs w:val="20"/>
          <w:lang w:val="en-US" w:bidi="fa-IR"/>
        </w:rPr>
        <w:t xml:space="preserve">% increase in ecological footprint. </w:t>
      </w:r>
      <w:r w:rsidR="006040A5" w:rsidRPr="00781F4C">
        <w:rPr>
          <w:rFonts w:asciiTheme="majorBidi" w:hAnsiTheme="majorBidi" w:cstheme="majorBidi"/>
          <w:sz w:val="20"/>
          <w:szCs w:val="20"/>
          <w:lang w:val="en-US" w:bidi="fa-IR"/>
        </w:rPr>
        <w:t xml:space="preserve">Economic growth requires more energy, which leads to more environmental degradation. </w:t>
      </w:r>
      <w:r w:rsidR="0019640B" w:rsidRPr="00781F4C">
        <w:rPr>
          <w:rFonts w:asciiTheme="majorBidi" w:hAnsiTheme="majorBidi" w:cstheme="majorBidi"/>
          <w:sz w:val="20"/>
          <w:szCs w:val="20"/>
          <w:lang w:val="en-US" w:bidi="fa-IR"/>
        </w:rPr>
        <w:t xml:space="preserve">Given that economic growth adversely affects the environment in developing Asian countries and contributes to higher levels of ecological footprint. Therefore, it is ideal for the governments and political authorities of these countries to consider strict regulations for economic growth in various sectors. In addition, the authorities of these countries can use tax and subsidy tools to punish and encourage environmentally polluting and environmentally friendly sectors. </w:t>
      </w:r>
      <w:r w:rsidR="001E5187" w:rsidRPr="00781F4C">
        <w:rPr>
          <w:rFonts w:asciiTheme="majorBidi" w:hAnsiTheme="majorBidi" w:cstheme="majorBidi"/>
          <w:sz w:val="20"/>
          <w:szCs w:val="20"/>
          <w:lang w:val="en-US" w:bidi="fa-IR"/>
        </w:rPr>
        <w:t xml:space="preserve">Some studies confirm these results. </w:t>
      </w:r>
      <w:r w:rsidR="0039625E" w:rsidRPr="00781F4C">
        <w:rPr>
          <w:rFonts w:asciiTheme="majorBidi" w:hAnsiTheme="majorBidi" w:cstheme="majorBidi"/>
          <w:sz w:val="20"/>
          <w:szCs w:val="20"/>
          <w:lang w:val="en-US" w:bidi="fa-IR"/>
        </w:rPr>
        <w:t>Hassan et a</w:t>
      </w:r>
      <w:r w:rsidR="00055D0C" w:rsidRPr="00781F4C">
        <w:rPr>
          <w:rFonts w:asciiTheme="majorBidi" w:hAnsiTheme="majorBidi" w:cstheme="majorBidi"/>
          <w:sz w:val="20"/>
          <w:szCs w:val="20"/>
          <w:lang w:val="en-US" w:bidi="fa-IR"/>
        </w:rPr>
        <w:t>l</w:t>
      </w:r>
      <w:r w:rsidR="0039625E" w:rsidRPr="00781F4C">
        <w:rPr>
          <w:rFonts w:asciiTheme="majorBidi" w:hAnsiTheme="majorBidi" w:cstheme="majorBidi"/>
          <w:sz w:val="20"/>
          <w:szCs w:val="20"/>
          <w:lang w:val="en-US" w:bidi="fa-IR"/>
        </w:rPr>
        <w:t xml:space="preserve"> (2019) </w:t>
      </w:r>
      <w:r w:rsidR="001E5187" w:rsidRPr="00781F4C">
        <w:rPr>
          <w:rFonts w:asciiTheme="majorBidi" w:hAnsiTheme="majorBidi" w:cstheme="majorBidi"/>
          <w:sz w:val="20"/>
          <w:szCs w:val="20"/>
          <w:lang w:val="en-US" w:bidi="fa-IR"/>
        </w:rPr>
        <w:t xml:space="preserve">in a study </w:t>
      </w:r>
      <w:r w:rsidR="0039625E" w:rsidRPr="00781F4C">
        <w:rPr>
          <w:rFonts w:asciiTheme="majorBidi" w:hAnsiTheme="majorBidi" w:cstheme="majorBidi"/>
          <w:sz w:val="20"/>
          <w:szCs w:val="20"/>
          <w:lang w:val="en-US" w:bidi="fa-IR"/>
        </w:rPr>
        <w:t xml:space="preserve">for Pakistan </w:t>
      </w:r>
      <w:r w:rsidR="001E5187" w:rsidRPr="00781F4C">
        <w:rPr>
          <w:rFonts w:asciiTheme="majorBidi" w:hAnsiTheme="majorBidi" w:cstheme="majorBidi"/>
          <w:sz w:val="20"/>
          <w:szCs w:val="20"/>
          <w:lang w:val="en-US" w:bidi="fa-IR"/>
        </w:rPr>
        <w:t>found that</w:t>
      </w:r>
      <w:r w:rsidR="0039625E" w:rsidRPr="00781F4C">
        <w:rPr>
          <w:rFonts w:asciiTheme="majorBidi" w:hAnsiTheme="majorBidi" w:cstheme="majorBidi"/>
          <w:sz w:val="20"/>
          <w:szCs w:val="20"/>
          <w:lang w:val="en-US" w:bidi="fa-IR"/>
        </w:rPr>
        <w:t xml:space="preserve"> </w:t>
      </w:r>
      <w:r w:rsidR="001E5187" w:rsidRPr="00781F4C">
        <w:rPr>
          <w:rFonts w:asciiTheme="majorBidi" w:hAnsiTheme="majorBidi" w:cstheme="majorBidi"/>
          <w:sz w:val="20"/>
          <w:szCs w:val="20"/>
          <w:lang w:val="en-US" w:bidi="fa-IR"/>
        </w:rPr>
        <w:t xml:space="preserve">as economic growth increases, so does the ecological footprint and environmental degradation. </w:t>
      </w:r>
      <w:r w:rsidR="00055D0C" w:rsidRPr="00781F4C">
        <w:rPr>
          <w:rFonts w:asciiTheme="majorBidi" w:hAnsiTheme="majorBidi" w:cstheme="majorBidi"/>
          <w:sz w:val="20"/>
          <w:szCs w:val="20"/>
          <w:lang w:val="en-US" w:bidi="fa-IR"/>
        </w:rPr>
        <w:t>Saud et al</w:t>
      </w:r>
      <w:r w:rsidR="001E5187" w:rsidRPr="00781F4C">
        <w:rPr>
          <w:rFonts w:asciiTheme="majorBidi" w:hAnsiTheme="majorBidi" w:cstheme="majorBidi"/>
          <w:sz w:val="20"/>
          <w:szCs w:val="20"/>
          <w:lang w:val="en-US" w:bidi="fa-IR"/>
        </w:rPr>
        <w:t xml:space="preserve"> (2019) obtained similar results.</w:t>
      </w:r>
      <w:r w:rsidR="006040A5" w:rsidRPr="00781F4C">
        <w:rPr>
          <w:rFonts w:asciiTheme="majorBidi" w:hAnsiTheme="majorBidi" w:cstheme="majorBidi"/>
          <w:lang w:val="en-US" w:bidi="fa-IR"/>
        </w:rPr>
        <w:t xml:space="preserve"> </w:t>
      </w:r>
      <w:r w:rsidR="00862885" w:rsidRPr="00781F4C">
        <w:rPr>
          <w:rFonts w:asciiTheme="majorBidi" w:hAnsiTheme="majorBidi" w:cstheme="majorBidi"/>
          <w:lang w:val="en-US" w:bidi="fa-IR"/>
        </w:rPr>
        <w:t xml:space="preserve"> </w:t>
      </w:r>
    </w:p>
    <w:p w14:paraId="76D1618D" w14:textId="77777777" w:rsidR="007266CB" w:rsidRPr="00781F4C" w:rsidRDefault="007266CB" w:rsidP="00B0758C">
      <w:pPr>
        <w:jc w:val="both"/>
        <w:rPr>
          <w:rFonts w:asciiTheme="majorBidi" w:hAnsiTheme="majorBidi" w:cstheme="majorBidi"/>
          <w:sz w:val="20"/>
          <w:szCs w:val="20"/>
          <w:lang w:val="en-US" w:bidi="fa-IR"/>
        </w:rPr>
      </w:pPr>
    </w:p>
    <w:p w14:paraId="385A5DCA" w14:textId="77777777" w:rsidR="00FD68DB" w:rsidRPr="00781F4C" w:rsidRDefault="00FD68DB" w:rsidP="00B0758C">
      <w:pPr>
        <w:jc w:val="both"/>
        <w:rPr>
          <w:rFonts w:asciiTheme="majorBidi" w:hAnsiTheme="majorBidi" w:cstheme="majorBidi"/>
          <w:sz w:val="20"/>
          <w:szCs w:val="20"/>
          <w:lang w:val="en-US" w:bidi="fa-IR"/>
        </w:rPr>
      </w:pPr>
    </w:p>
    <w:p w14:paraId="66BF40BC" w14:textId="6E1801C6" w:rsidR="00835C3E" w:rsidRPr="00781F4C" w:rsidRDefault="00835C3E" w:rsidP="008E08A5">
      <w:pPr>
        <w:spacing w:after="240"/>
        <w:ind w:firstLine="720"/>
        <w:jc w:val="both"/>
        <w:rPr>
          <w:lang w:val="en-US" w:bidi="fa-IR"/>
        </w:rPr>
      </w:pPr>
    </w:p>
    <w:tbl>
      <w:tblPr>
        <w:tblStyle w:val="TableGrid1"/>
        <w:tblW w:w="504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9"/>
        <w:gridCol w:w="1206"/>
        <w:gridCol w:w="296"/>
        <w:gridCol w:w="917"/>
        <w:gridCol w:w="281"/>
        <w:gridCol w:w="15"/>
        <w:gridCol w:w="929"/>
        <w:gridCol w:w="296"/>
        <w:gridCol w:w="957"/>
        <w:gridCol w:w="325"/>
        <w:gridCol w:w="1010"/>
        <w:gridCol w:w="294"/>
        <w:gridCol w:w="1012"/>
        <w:gridCol w:w="500"/>
      </w:tblGrid>
      <w:tr w:rsidR="005737CD" w:rsidRPr="00781F4C" w14:paraId="3074254C" w14:textId="77777777" w:rsidTr="00AA04D8">
        <w:trPr>
          <w:jc w:val="center"/>
        </w:trPr>
        <w:tc>
          <w:tcPr>
            <w:tcW w:w="5000" w:type="pct"/>
            <w:gridSpan w:val="14"/>
            <w:tcBorders>
              <w:bottom w:val="single" w:sz="24" w:space="0" w:color="auto"/>
            </w:tcBorders>
          </w:tcPr>
          <w:p w14:paraId="522354AC" w14:textId="10B4D0E5" w:rsidR="000A14A1" w:rsidRPr="00781F4C" w:rsidRDefault="00C12CFE" w:rsidP="008E08A5">
            <w:pPr>
              <w:keepNext/>
              <w:spacing w:line="259" w:lineRule="auto"/>
              <w:rPr>
                <w:rFonts w:asciiTheme="majorBidi" w:eastAsiaTheme="minorHAnsi" w:hAnsiTheme="majorBidi" w:cstheme="majorBidi"/>
                <w:i/>
                <w:iCs/>
                <w:sz w:val="18"/>
                <w:szCs w:val="18"/>
                <w:lang w:val="en-US" w:eastAsia="en-US"/>
              </w:rPr>
            </w:pPr>
            <w:r w:rsidRPr="00781F4C">
              <w:rPr>
                <w:rFonts w:asciiTheme="majorBidi" w:eastAsiaTheme="minorHAnsi" w:hAnsiTheme="majorBidi" w:cstheme="majorBidi"/>
                <w:i/>
                <w:iCs/>
                <w:sz w:val="18"/>
                <w:szCs w:val="18"/>
                <w:lang w:val="en-US" w:eastAsia="en-US"/>
              </w:rPr>
              <w:t>Table 8</w:t>
            </w:r>
            <w:r w:rsidR="000A14A1" w:rsidRPr="00781F4C">
              <w:rPr>
                <w:rFonts w:asciiTheme="majorBidi" w:eastAsiaTheme="minorHAnsi" w:hAnsiTheme="majorBidi" w:cstheme="majorBidi"/>
                <w:i/>
                <w:iCs/>
                <w:sz w:val="18"/>
                <w:szCs w:val="18"/>
                <w:lang w:val="en-US" w:eastAsia="en-US"/>
              </w:rPr>
              <w:t>. Estimation results from panel quantile regression model and panel fixed effects</w:t>
            </w:r>
          </w:p>
        </w:tc>
      </w:tr>
      <w:tr w:rsidR="005737CD" w:rsidRPr="00781F4C" w14:paraId="50B9A348" w14:textId="77777777" w:rsidTr="00207B69">
        <w:trPr>
          <w:trHeight w:val="21"/>
          <w:jc w:val="center"/>
        </w:trPr>
        <w:tc>
          <w:tcPr>
            <w:tcW w:w="741" w:type="pct"/>
            <w:vMerge w:val="restart"/>
            <w:tcBorders>
              <w:top w:val="single" w:sz="24" w:space="0" w:color="auto"/>
              <w:right w:val="dashSmallGap" w:sz="12" w:space="0" w:color="auto"/>
            </w:tcBorders>
            <w:vAlign w:val="center"/>
          </w:tcPr>
          <w:p w14:paraId="72C7B424" w14:textId="77777777" w:rsidR="007D506E" w:rsidRPr="00781F4C" w:rsidRDefault="007D506E" w:rsidP="00A234A9">
            <w:pPr>
              <w:keepNext/>
              <w:spacing w:line="259" w:lineRule="auto"/>
              <w:rPr>
                <w:rFonts w:asciiTheme="majorBidi" w:eastAsiaTheme="minorHAnsi" w:hAnsiTheme="majorBidi" w:cstheme="majorBidi"/>
                <w:i/>
                <w:iCs/>
                <w:sz w:val="16"/>
                <w:szCs w:val="16"/>
                <w:rtl/>
                <w:lang w:val="en-US" w:eastAsia="en-US"/>
              </w:rPr>
            </w:pPr>
            <w:r w:rsidRPr="00781F4C">
              <w:rPr>
                <w:rFonts w:asciiTheme="majorBidi" w:eastAsiaTheme="minorHAnsi" w:hAnsiTheme="majorBidi" w:cstheme="majorBidi"/>
                <w:i/>
                <w:iCs/>
                <w:sz w:val="16"/>
                <w:szCs w:val="16"/>
                <w:lang w:val="en-US" w:eastAsia="en-US" w:bidi="fa-IR"/>
              </w:rPr>
              <w:t>Variables</w:t>
            </w:r>
          </w:p>
        </w:tc>
        <w:tc>
          <w:tcPr>
            <w:tcW w:w="3457" w:type="pct"/>
            <w:gridSpan w:val="11"/>
            <w:tcBorders>
              <w:top w:val="single" w:sz="24" w:space="0" w:color="auto"/>
              <w:left w:val="dashSmallGap" w:sz="12" w:space="0" w:color="auto"/>
              <w:right w:val="dashSmallGap" w:sz="12" w:space="0" w:color="auto"/>
            </w:tcBorders>
            <w:vAlign w:val="center"/>
          </w:tcPr>
          <w:p w14:paraId="7256B99E" w14:textId="77777777" w:rsidR="007D506E" w:rsidRPr="00781F4C" w:rsidRDefault="007D506E" w:rsidP="008E08A5">
            <w:pPr>
              <w:keepNext/>
              <w:spacing w:line="259" w:lineRule="auto"/>
              <w:jc w:val="center"/>
              <w:rPr>
                <w:rFonts w:asciiTheme="majorBidi" w:eastAsiaTheme="minorHAnsi" w:hAnsiTheme="majorBidi" w:cstheme="majorBidi"/>
                <w:i/>
                <w:iCs/>
                <w:sz w:val="16"/>
                <w:szCs w:val="16"/>
                <w:rtl/>
                <w:lang w:val="en-US" w:eastAsia="en-US"/>
              </w:rPr>
            </w:pPr>
            <w:r w:rsidRPr="00781F4C">
              <w:rPr>
                <w:rFonts w:asciiTheme="majorBidi" w:eastAsiaTheme="minorHAnsi" w:hAnsiTheme="majorBidi" w:cstheme="majorBidi"/>
                <w:i/>
                <w:iCs/>
                <w:sz w:val="16"/>
                <w:szCs w:val="16"/>
                <w:lang w:val="en-US" w:eastAsia="en-US"/>
              </w:rPr>
              <w:t>Quantiles</w:t>
            </w:r>
          </w:p>
        </w:tc>
        <w:tc>
          <w:tcPr>
            <w:tcW w:w="802" w:type="pct"/>
            <w:gridSpan w:val="2"/>
            <w:tcBorders>
              <w:top w:val="single" w:sz="24" w:space="0" w:color="auto"/>
              <w:left w:val="dashSmallGap" w:sz="12" w:space="0" w:color="auto"/>
            </w:tcBorders>
            <w:vAlign w:val="center"/>
          </w:tcPr>
          <w:p w14:paraId="3BD40B13" w14:textId="77777777" w:rsidR="007D506E" w:rsidRPr="00781F4C" w:rsidRDefault="007D506E" w:rsidP="008E08A5">
            <w:pPr>
              <w:keepNext/>
              <w:spacing w:line="259" w:lineRule="auto"/>
              <w:jc w:val="center"/>
              <w:rPr>
                <w:rFonts w:asciiTheme="majorBidi" w:eastAsiaTheme="minorHAnsi" w:hAnsiTheme="majorBidi" w:cstheme="majorBidi"/>
                <w:i/>
                <w:iCs/>
                <w:sz w:val="16"/>
                <w:szCs w:val="16"/>
                <w:rtl/>
                <w:lang w:val="en-US" w:eastAsia="en-US"/>
              </w:rPr>
            </w:pPr>
            <w:r w:rsidRPr="00781F4C">
              <w:rPr>
                <w:rFonts w:asciiTheme="majorBidi" w:eastAsiaTheme="minorHAnsi" w:hAnsiTheme="majorBidi" w:cstheme="majorBidi"/>
                <w:i/>
                <w:iCs/>
                <w:sz w:val="16"/>
                <w:szCs w:val="16"/>
                <w:lang w:val="en-US" w:eastAsia="en-US"/>
              </w:rPr>
              <w:t>OLS</w:t>
            </w:r>
          </w:p>
        </w:tc>
      </w:tr>
      <w:tr w:rsidR="00E4196C" w:rsidRPr="00781F4C" w14:paraId="47F4737E" w14:textId="77777777" w:rsidTr="00207B69">
        <w:trPr>
          <w:trHeight w:val="25"/>
          <w:jc w:val="center"/>
        </w:trPr>
        <w:tc>
          <w:tcPr>
            <w:tcW w:w="741" w:type="pct"/>
            <w:vMerge/>
            <w:tcBorders>
              <w:bottom w:val="single" w:sz="8" w:space="0" w:color="auto"/>
              <w:right w:val="dashSmallGap" w:sz="12" w:space="0" w:color="auto"/>
            </w:tcBorders>
            <w:vAlign w:val="center"/>
          </w:tcPr>
          <w:p w14:paraId="7CB9D0A7" w14:textId="77777777" w:rsidR="007D506E" w:rsidRPr="00781F4C" w:rsidRDefault="007D506E" w:rsidP="00A234A9">
            <w:pPr>
              <w:keepNext/>
              <w:spacing w:line="259" w:lineRule="auto"/>
              <w:rPr>
                <w:rFonts w:asciiTheme="majorBidi" w:eastAsiaTheme="minorHAnsi" w:hAnsiTheme="majorBidi" w:cstheme="majorBidi"/>
                <w:i/>
                <w:iCs/>
                <w:sz w:val="16"/>
                <w:szCs w:val="16"/>
                <w:lang w:val="en-US" w:eastAsia="en-US" w:bidi="fa-IR"/>
              </w:rPr>
            </w:pPr>
          </w:p>
        </w:tc>
        <w:tc>
          <w:tcPr>
            <w:tcW w:w="796" w:type="pct"/>
            <w:gridSpan w:val="2"/>
            <w:tcBorders>
              <w:top w:val="single" w:sz="8" w:space="0" w:color="auto"/>
              <w:left w:val="dashSmallGap" w:sz="12" w:space="0" w:color="auto"/>
            </w:tcBorders>
            <w:vAlign w:val="center"/>
          </w:tcPr>
          <w:p w14:paraId="7F868C27" w14:textId="77777777" w:rsidR="007D506E" w:rsidRPr="00781F4C" w:rsidRDefault="007D506E" w:rsidP="00F12B7A">
            <w:pPr>
              <w:keepNext/>
              <w:spacing w:line="259" w:lineRule="auto"/>
              <w:jc w:val="center"/>
              <w:rPr>
                <w:rFonts w:asciiTheme="majorBidi" w:eastAsiaTheme="minorHAnsi" w:hAnsiTheme="majorBidi" w:cstheme="majorBidi"/>
                <w:i/>
                <w:iCs/>
                <w:sz w:val="16"/>
                <w:szCs w:val="16"/>
                <w:lang w:val="en-US" w:eastAsia="en-US"/>
              </w:rPr>
            </w:pPr>
            <w:r w:rsidRPr="00781F4C">
              <w:rPr>
                <w:rFonts w:asciiTheme="majorBidi" w:eastAsiaTheme="minorHAnsi" w:hAnsiTheme="majorBidi" w:cstheme="majorBidi"/>
                <w:i/>
                <w:iCs/>
                <w:sz w:val="16"/>
                <w:szCs w:val="16"/>
                <w:lang w:val="en-US" w:eastAsia="en-US"/>
              </w:rPr>
              <w:t>10th</w:t>
            </w:r>
          </w:p>
        </w:tc>
        <w:tc>
          <w:tcPr>
            <w:tcW w:w="643" w:type="pct"/>
            <w:gridSpan w:val="3"/>
            <w:tcBorders>
              <w:top w:val="single" w:sz="8" w:space="0" w:color="auto"/>
            </w:tcBorders>
            <w:vAlign w:val="center"/>
          </w:tcPr>
          <w:p w14:paraId="67BBAD2D" w14:textId="77777777" w:rsidR="007D506E" w:rsidRPr="00781F4C" w:rsidRDefault="007D506E" w:rsidP="00F12B7A">
            <w:pPr>
              <w:keepNext/>
              <w:spacing w:line="259" w:lineRule="auto"/>
              <w:jc w:val="center"/>
              <w:rPr>
                <w:rFonts w:asciiTheme="majorBidi" w:eastAsiaTheme="minorHAnsi" w:hAnsiTheme="majorBidi" w:cstheme="majorBidi"/>
                <w:i/>
                <w:iCs/>
                <w:sz w:val="16"/>
                <w:szCs w:val="16"/>
                <w:lang w:val="en-US" w:eastAsia="en-US"/>
              </w:rPr>
            </w:pPr>
            <w:r w:rsidRPr="00781F4C">
              <w:rPr>
                <w:rFonts w:asciiTheme="majorBidi" w:eastAsiaTheme="minorHAnsi" w:hAnsiTheme="majorBidi" w:cstheme="majorBidi"/>
                <w:i/>
                <w:iCs/>
                <w:sz w:val="16"/>
                <w:szCs w:val="16"/>
                <w:lang w:val="en-US" w:eastAsia="en-US"/>
              </w:rPr>
              <w:t>25th</w:t>
            </w:r>
          </w:p>
        </w:tc>
        <w:tc>
          <w:tcPr>
            <w:tcW w:w="649" w:type="pct"/>
            <w:gridSpan w:val="2"/>
            <w:tcBorders>
              <w:top w:val="single" w:sz="8" w:space="0" w:color="auto"/>
            </w:tcBorders>
            <w:vAlign w:val="center"/>
          </w:tcPr>
          <w:p w14:paraId="25EF7EAD" w14:textId="77777777" w:rsidR="007D506E" w:rsidRPr="00781F4C" w:rsidRDefault="007D506E" w:rsidP="00F12B7A">
            <w:pPr>
              <w:keepNext/>
              <w:spacing w:line="259" w:lineRule="auto"/>
              <w:jc w:val="center"/>
              <w:rPr>
                <w:rFonts w:asciiTheme="majorBidi" w:eastAsiaTheme="minorHAnsi" w:hAnsiTheme="majorBidi" w:cstheme="majorBidi"/>
                <w:i/>
                <w:iCs/>
                <w:sz w:val="16"/>
                <w:szCs w:val="16"/>
                <w:lang w:val="en-US" w:eastAsia="en-US"/>
              </w:rPr>
            </w:pPr>
            <w:r w:rsidRPr="00781F4C">
              <w:rPr>
                <w:rFonts w:asciiTheme="majorBidi" w:eastAsiaTheme="minorHAnsi" w:hAnsiTheme="majorBidi" w:cstheme="majorBidi"/>
                <w:i/>
                <w:iCs/>
                <w:sz w:val="16"/>
                <w:szCs w:val="16"/>
                <w:lang w:val="en-US" w:eastAsia="en-US"/>
              </w:rPr>
              <w:t>50th</w:t>
            </w:r>
          </w:p>
        </w:tc>
        <w:tc>
          <w:tcPr>
            <w:tcW w:w="679" w:type="pct"/>
            <w:gridSpan w:val="2"/>
            <w:tcBorders>
              <w:top w:val="single" w:sz="8" w:space="0" w:color="auto"/>
            </w:tcBorders>
            <w:vAlign w:val="center"/>
          </w:tcPr>
          <w:p w14:paraId="6FDB78D4" w14:textId="77777777" w:rsidR="007D506E" w:rsidRPr="00781F4C" w:rsidRDefault="007D506E" w:rsidP="00F12B7A">
            <w:pPr>
              <w:keepNext/>
              <w:spacing w:line="259" w:lineRule="auto"/>
              <w:jc w:val="center"/>
              <w:rPr>
                <w:rFonts w:asciiTheme="majorBidi" w:eastAsiaTheme="minorHAnsi" w:hAnsiTheme="majorBidi" w:cstheme="majorBidi"/>
                <w:i/>
                <w:iCs/>
                <w:sz w:val="16"/>
                <w:szCs w:val="16"/>
                <w:lang w:val="en-US" w:eastAsia="en-US"/>
              </w:rPr>
            </w:pPr>
            <w:r w:rsidRPr="00781F4C">
              <w:rPr>
                <w:rFonts w:asciiTheme="majorBidi" w:eastAsiaTheme="minorHAnsi" w:hAnsiTheme="majorBidi" w:cstheme="majorBidi"/>
                <w:i/>
                <w:iCs/>
                <w:sz w:val="16"/>
                <w:szCs w:val="16"/>
                <w:lang w:val="en-US" w:eastAsia="en-US"/>
              </w:rPr>
              <w:t>75th</w:t>
            </w:r>
          </w:p>
        </w:tc>
        <w:tc>
          <w:tcPr>
            <w:tcW w:w="691" w:type="pct"/>
            <w:gridSpan w:val="2"/>
            <w:tcBorders>
              <w:top w:val="single" w:sz="8" w:space="0" w:color="auto"/>
              <w:right w:val="dashSmallGap" w:sz="12" w:space="0" w:color="auto"/>
            </w:tcBorders>
            <w:vAlign w:val="center"/>
          </w:tcPr>
          <w:p w14:paraId="51B74FE1" w14:textId="77777777" w:rsidR="007D506E" w:rsidRPr="00781F4C" w:rsidRDefault="007D506E" w:rsidP="00F12B7A">
            <w:pPr>
              <w:keepNext/>
              <w:spacing w:line="259" w:lineRule="auto"/>
              <w:jc w:val="center"/>
              <w:rPr>
                <w:rFonts w:asciiTheme="majorBidi" w:eastAsiaTheme="minorHAnsi" w:hAnsiTheme="majorBidi" w:cstheme="majorBidi"/>
                <w:i/>
                <w:iCs/>
                <w:sz w:val="16"/>
                <w:szCs w:val="16"/>
                <w:lang w:val="en-US" w:eastAsia="en-US"/>
              </w:rPr>
            </w:pPr>
            <w:r w:rsidRPr="00781F4C">
              <w:rPr>
                <w:rFonts w:asciiTheme="majorBidi" w:eastAsiaTheme="minorHAnsi" w:hAnsiTheme="majorBidi" w:cstheme="majorBidi"/>
                <w:i/>
                <w:iCs/>
                <w:sz w:val="16"/>
                <w:szCs w:val="16"/>
                <w:lang w:val="en-US" w:eastAsia="en-US"/>
              </w:rPr>
              <w:t>90th</w:t>
            </w:r>
          </w:p>
        </w:tc>
        <w:tc>
          <w:tcPr>
            <w:tcW w:w="802" w:type="pct"/>
            <w:gridSpan w:val="2"/>
            <w:tcBorders>
              <w:top w:val="single" w:sz="8" w:space="0" w:color="auto"/>
              <w:left w:val="dashSmallGap" w:sz="12" w:space="0" w:color="auto"/>
            </w:tcBorders>
            <w:vAlign w:val="center"/>
          </w:tcPr>
          <w:p w14:paraId="5674552D" w14:textId="77777777" w:rsidR="007D506E" w:rsidRPr="00781F4C" w:rsidRDefault="007D506E" w:rsidP="00F12B7A">
            <w:pPr>
              <w:keepNext/>
              <w:spacing w:line="259" w:lineRule="auto"/>
              <w:jc w:val="center"/>
              <w:rPr>
                <w:rFonts w:asciiTheme="majorBidi" w:eastAsiaTheme="minorHAnsi" w:hAnsiTheme="majorBidi" w:cstheme="majorBidi"/>
                <w:i/>
                <w:iCs/>
                <w:sz w:val="16"/>
                <w:szCs w:val="16"/>
                <w:lang w:val="en-US" w:eastAsia="en-US"/>
              </w:rPr>
            </w:pPr>
            <w:r w:rsidRPr="00781F4C">
              <w:rPr>
                <w:rFonts w:asciiTheme="majorBidi" w:eastAsiaTheme="minorHAnsi" w:hAnsiTheme="majorBidi" w:cstheme="majorBidi"/>
                <w:i/>
                <w:iCs/>
                <w:sz w:val="16"/>
                <w:szCs w:val="16"/>
                <w:lang w:val="en-US" w:eastAsia="en-US"/>
              </w:rPr>
              <w:t>Fixed Effects</w:t>
            </w:r>
          </w:p>
        </w:tc>
      </w:tr>
      <w:tr w:rsidR="00207B69" w:rsidRPr="00781F4C" w14:paraId="11DD3F28" w14:textId="77777777" w:rsidTr="00207B69">
        <w:trPr>
          <w:jc w:val="center"/>
        </w:trPr>
        <w:tc>
          <w:tcPr>
            <w:tcW w:w="741" w:type="pct"/>
            <w:tcBorders>
              <w:top w:val="single" w:sz="8" w:space="0" w:color="auto"/>
              <w:right w:val="dashSmallGap" w:sz="12" w:space="0" w:color="auto"/>
            </w:tcBorders>
            <w:vAlign w:val="center"/>
          </w:tcPr>
          <w:p w14:paraId="07FF8D68" w14:textId="2A6FB2FB" w:rsidR="00207B69" w:rsidRPr="00781F4C" w:rsidRDefault="00207B69" w:rsidP="00A234A9">
            <w:pPr>
              <w:keepNext/>
              <w:rPr>
                <w:rFonts w:asciiTheme="majorBidi" w:hAnsiTheme="majorBidi" w:cstheme="majorBidi"/>
                <w:sz w:val="16"/>
                <w:szCs w:val="16"/>
                <w:lang w:val="en-US"/>
              </w:rPr>
            </w:pPr>
            <w:r w:rsidRPr="00781F4C">
              <w:rPr>
                <w:rFonts w:asciiTheme="majorBidi" w:hAnsiTheme="majorBidi" w:cstheme="majorBidi"/>
                <w:sz w:val="16"/>
                <w:szCs w:val="16"/>
                <w:lang w:val="en-US" w:bidi="fa-IR"/>
              </w:rPr>
              <w:t>L</w:t>
            </w:r>
            <w:r w:rsidR="00C12481" w:rsidRPr="00781F4C">
              <w:rPr>
                <w:rFonts w:asciiTheme="majorBidi" w:hAnsiTheme="majorBidi" w:cstheme="majorBidi"/>
                <w:sz w:val="16"/>
                <w:szCs w:val="16"/>
                <w:lang w:val="en-US" w:bidi="fa-IR"/>
              </w:rPr>
              <w:t>E</w:t>
            </w:r>
            <w:r w:rsidRPr="00781F4C">
              <w:rPr>
                <w:rFonts w:asciiTheme="majorBidi" w:hAnsiTheme="majorBidi" w:cstheme="majorBidi"/>
                <w:sz w:val="16"/>
                <w:szCs w:val="16"/>
                <w:lang w:val="en-US" w:bidi="fa-IR"/>
              </w:rPr>
              <w:t>Q</w:t>
            </w:r>
          </w:p>
        </w:tc>
        <w:tc>
          <w:tcPr>
            <w:tcW w:w="639" w:type="pct"/>
            <w:tcBorders>
              <w:top w:val="single" w:sz="8" w:space="0" w:color="auto"/>
              <w:left w:val="dashSmallGap" w:sz="12" w:space="0" w:color="auto"/>
            </w:tcBorders>
            <w:vAlign w:val="center"/>
          </w:tcPr>
          <w:p w14:paraId="71E08015" w14:textId="20D5D2B6" w:rsidR="00207B69" w:rsidRPr="00781F4C" w:rsidRDefault="00207B69" w:rsidP="00CF6621">
            <w:pPr>
              <w:keepNext/>
              <w:spacing w:line="259" w:lineRule="auto"/>
              <w:jc w:val="center"/>
              <w:rPr>
                <w:rFonts w:asciiTheme="majorBidi" w:eastAsiaTheme="minorHAnsi" w:hAnsiTheme="majorBidi" w:cstheme="majorBidi"/>
                <w:sz w:val="16"/>
                <w:szCs w:val="16"/>
                <w:lang w:val="en-US" w:eastAsia="en-US"/>
              </w:rPr>
            </w:pPr>
            <w:r w:rsidRPr="00781F4C">
              <w:rPr>
                <w:rFonts w:asciiTheme="majorBidi" w:eastAsiaTheme="minorHAnsi" w:hAnsiTheme="majorBidi" w:cstheme="majorBidi"/>
                <w:sz w:val="16"/>
                <w:szCs w:val="16"/>
                <w:lang w:val="en-US" w:eastAsia="en-US"/>
              </w:rPr>
              <w:t>-3.8115</w:t>
            </w:r>
          </w:p>
        </w:tc>
        <w:tc>
          <w:tcPr>
            <w:tcW w:w="157" w:type="pct"/>
            <w:tcBorders>
              <w:top w:val="single" w:sz="8" w:space="0" w:color="auto"/>
            </w:tcBorders>
            <w:tcMar>
              <w:left w:w="0" w:type="dxa"/>
            </w:tcMar>
            <w:vAlign w:val="center"/>
          </w:tcPr>
          <w:p w14:paraId="4C9E9366" w14:textId="77777777" w:rsidR="00207B69" w:rsidRPr="00781F4C" w:rsidRDefault="00207B69" w:rsidP="00CF6621">
            <w:pPr>
              <w:keepNext/>
              <w:spacing w:line="259" w:lineRule="auto"/>
              <w:jc w:val="center"/>
              <w:rPr>
                <w:rFonts w:asciiTheme="majorBidi" w:eastAsiaTheme="minorHAnsi" w:hAnsiTheme="majorBidi" w:cstheme="majorBidi"/>
                <w:sz w:val="16"/>
                <w:szCs w:val="16"/>
                <w:vertAlign w:val="superscript"/>
                <w:lang w:val="en-US" w:eastAsia="en-US"/>
              </w:rPr>
            </w:pPr>
            <w:r w:rsidRPr="00781F4C">
              <w:rPr>
                <w:rFonts w:asciiTheme="majorBidi" w:eastAsiaTheme="minorHAnsi" w:hAnsiTheme="majorBidi" w:cstheme="majorBidi"/>
                <w:sz w:val="16"/>
                <w:szCs w:val="16"/>
                <w:vertAlign w:val="superscript"/>
                <w:lang w:val="en-US" w:eastAsia="en-US"/>
              </w:rPr>
              <w:t>***</w:t>
            </w:r>
          </w:p>
        </w:tc>
        <w:tc>
          <w:tcPr>
            <w:tcW w:w="486" w:type="pct"/>
            <w:tcBorders>
              <w:top w:val="single" w:sz="8" w:space="0" w:color="auto"/>
            </w:tcBorders>
            <w:vAlign w:val="center"/>
          </w:tcPr>
          <w:p w14:paraId="7A898DF0" w14:textId="5E02F110" w:rsidR="00207B69" w:rsidRPr="00781F4C" w:rsidRDefault="00207B69" w:rsidP="00CF6621">
            <w:pPr>
              <w:keepNext/>
              <w:spacing w:line="259" w:lineRule="auto"/>
              <w:jc w:val="center"/>
              <w:rPr>
                <w:rFonts w:asciiTheme="majorBidi" w:eastAsiaTheme="minorHAnsi" w:hAnsiTheme="majorBidi" w:cstheme="majorBidi"/>
                <w:sz w:val="16"/>
                <w:szCs w:val="16"/>
                <w:lang w:val="en-US" w:eastAsia="en-US"/>
              </w:rPr>
            </w:pPr>
            <w:r w:rsidRPr="00781F4C">
              <w:rPr>
                <w:rFonts w:asciiTheme="majorBidi" w:eastAsiaTheme="minorHAnsi" w:hAnsiTheme="majorBidi" w:cstheme="majorBidi"/>
                <w:sz w:val="16"/>
                <w:szCs w:val="16"/>
                <w:lang w:val="en-US" w:eastAsia="en-US"/>
              </w:rPr>
              <w:t>-2.4534</w:t>
            </w:r>
          </w:p>
        </w:tc>
        <w:tc>
          <w:tcPr>
            <w:tcW w:w="157" w:type="pct"/>
            <w:gridSpan w:val="2"/>
            <w:tcBorders>
              <w:top w:val="single" w:sz="8" w:space="0" w:color="auto"/>
            </w:tcBorders>
            <w:tcMar>
              <w:left w:w="0" w:type="dxa"/>
            </w:tcMar>
            <w:vAlign w:val="center"/>
          </w:tcPr>
          <w:p w14:paraId="0A1720E2" w14:textId="77777777" w:rsidR="00207B69" w:rsidRPr="00781F4C" w:rsidRDefault="00207B69" w:rsidP="00CF6621">
            <w:pPr>
              <w:keepNext/>
              <w:spacing w:line="259" w:lineRule="auto"/>
              <w:jc w:val="center"/>
              <w:rPr>
                <w:rFonts w:asciiTheme="majorBidi" w:eastAsiaTheme="minorHAnsi" w:hAnsiTheme="majorBidi" w:cstheme="majorBidi"/>
                <w:sz w:val="16"/>
                <w:szCs w:val="16"/>
                <w:vertAlign w:val="superscript"/>
                <w:lang w:val="en-US" w:eastAsia="en-US"/>
              </w:rPr>
            </w:pPr>
            <w:r w:rsidRPr="00781F4C">
              <w:rPr>
                <w:rFonts w:asciiTheme="majorBidi" w:eastAsiaTheme="minorHAnsi" w:hAnsiTheme="majorBidi" w:cstheme="majorBidi"/>
                <w:sz w:val="16"/>
                <w:szCs w:val="16"/>
                <w:vertAlign w:val="superscript"/>
                <w:lang w:val="en-US" w:eastAsia="en-US"/>
              </w:rPr>
              <w:t>***</w:t>
            </w:r>
          </w:p>
        </w:tc>
        <w:tc>
          <w:tcPr>
            <w:tcW w:w="492" w:type="pct"/>
            <w:tcBorders>
              <w:top w:val="single" w:sz="8" w:space="0" w:color="auto"/>
            </w:tcBorders>
            <w:vAlign w:val="center"/>
          </w:tcPr>
          <w:p w14:paraId="345538C5" w14:textId="08FA3515" w:rsidR="00207B69" w:rsidRPr="00781F4C" w:rsidRDefault="00207B69" w:rsidP="00CF6621">
            <w:pPr>
              <w:keepNext/>
              <w:spacing w:line="259" w:lineRule="auto"/>
              <w:jc w:val="center"/>
              <w:rPr>
                <w:rFonts w:asciiTheme="majorBidi" w:eastAsiaTheme="minorHAnsi" w:hAnsiTheme="majorBidi" w:cstheme="majorBidi"/>
                <w:sz w:val="16"/>
                <w:szCs w:val="16"/>
                <w:lang w:val="en-US" w:eastAsia="en-US"/>
              </w:rPr>
            </w:pPr>
            <w:r w:rsidRPr="00781F4C">
              <w:rPr>
                <w:rFonts w:asciiTheme="majorBidi" w:eastAsiaTheme="minorHAnsi" w:hAnsiTheme="majorBidi" w:cstheme="majorBidi"/>
                <w:sz w:val="16"/>
                <w:szCs w:val="16"/>
                <w:lang w:val="en-US" w:eastAsia="en-US"/>
              </w:rPr>
              <w:t>-1.1145</w:t>
            </w:r>
          </w:p>
        </w:tc>
        <w:tc>
          <w:tcPr>
            <w:tcW w:w="157" w:type="pct"/>
            <w:tcBorders>
              <w:top w:val="single" w:sz="8" w:space="0" w:color="auto"/>
            </w:tcBorders>
            <w:tcMar>
              <w:left w:w="0" w:type="dxa"/>
            </w:tcMar>
            <w:vAlign w:val="center"/>
          </w:tcPr>
          <w:p w14:paraId="446FC006" w14:textId="01D30C8C" w:rsidR="00207B69" w:rsidRPr="00781F4C" w:rsidRDefault="00207B69" w:rsidP="00CF6621">
            <w:pPr>
              <w:keepNext/>
              <w:spacing w:line="259" w:lineRule="auto"/>
              <w:jc w:val="center"/>
              <w:rPr>
                <w:rFonts w:asciiTheme="majorBidi" w:eastAsiaTheme="minorHAnsi" w:hAnsiTheme="majorBidi" w:cstheme="majorBidi"/>
                <w:sz w:val="16"/>
                <w:szCs w:val="16"/>
                <w:lang w:val="en-US" w:eastAsia="en-US"/>
              </w:rPr>
            </w:pPr>
            <w:r w:rsidRPr="00781F4C">
              <w:rPr>
                <w:rFonts w:asciiTheme="majorBidi" w:eastAsiaTheme="minorHAnsi" w:hAnsiTheme="majorBidi" w:cstheme="majorBidi"/>
                <w:sz w:val="16"/>
                <w:szCs w:val="16"/>
                <w:vertAlign w:val="superscript"/>
                <w:lang w:val="en-US" w:eastAsia="en-US"/>
              </w:rPr>
              <w:t>***</w:t>
            </w:r>
          </w:p>
        </w:tc>
        <w:tc>
          <w:tcPr>
            <w:tcW w:w="507" w:type="pct"/>
            <w:tcBorders>
              <w:top w:val="single" w:sz="8" w:space="0" w:color="auto"/>
            </w:tcBorders>
            <w:vAlign w:val="center"/>
          </w:tcPr>
          <w:p w14:paraId="0E267395" w14:textId="48EDCBD2" w:rsidR="00207B69" w:rsidRPr="00781F4C" w:rsidRDefault="00C936AE" w:rsidP="00CF6621">
            <w:pPr>
              <w:keepNext/>
              <w:spacing w:line="259" w:lineRule="auto"/>
              <w:jc w:val="center"/>
              <w:rPr>
                <w:rFonts w:asciiTheme="majorBidi" w:eastAsiaTheme="minorHAnsi" w:hAnsiTheme="majorBidi" w:cstheme="majorBidi"/>
                <w:sz w:val="16"/>
                <w:szCs w:val="16"/>
                <w:lang w:val="en-US" w:eastAsia="en-US"/>
              </w:rPr>
            </w:pPr>
            <w:r w:rsidRPr="00781F4C">
              <w:rPr>
                <w:rFonts w:asciiTheme="majorBidi" w:eastAsiaTheme="minorHAnsi" w:hAnsiTheme="majorBidi" w:cstheme="majorBidi"/>
                <w:sz w:val="16"/>
                <w:szCs w:val="16"/>
                <w:lang w:val="en-US" w:eastAsia="en-US"/>
              </w:rPr>
              <w:t>-1.0171</w:t>
            </w:r>
          </w:p>
        </w:tc>
        <w:tc>
          <w:tcPr>
            <w:tcW w:w="172" w:type="pct"/>
            <w:tcBorders>
              <w:top w:val="single" w:sz="8" w:space="0" w:color="auto"/>
            </w:tcBorders>
            <w:tcMar>
              <w:left w:w="0" w:type="dxa"/>
            </w:tcMar>
            <w:vAlign w:val="center"/>
          </w:tcPr>
          <w:p w14:paraId="742CE6F4" w14:textId="3565D9D8" w:rsidR="00207B69" w:rsidRPr="00781F4C" w:rsidRDefault="00207B69" w:rsidP="00CF6621">
            <w:pPr>
              <w:keepNext/>
              <w:spacing w:line="259" w:lineRule="auto"/>
              <w:jc w:val="center"/>
              <w:rPr>
                <w:rFonts w:asciiTheme="majorBidi" w:eastAsiaTheme="minorHAnsi" w:hAnsiTheme="majorBidi" w:cstheme="majorBidi"/>
                <w:sz w:val="16"/>
                <w:szCs w:val="16"/>
                <w:vertAlign w:val="superscript"/>
                <w:lang w:val="en-US" w:eastAsia="en-US"/>
              </w:rPr>
            </w:pPr>
            <w:r w:rsidRPr="00781F4C">
              <w:rPr>
                <w:rFonts w:asciiTheme="majorBidi" w:eastAsiaTheme="minorHAnsi" w:hAnsiTheme="majorBidi" w:cstheme="majorBidi"/>
                <w:sz w:val="16"/>
                <w:szCs w:val="16"/>
                <w:vertAlign w:val="superscript"/>
                <w:lang w:val="en-US" w:eastAsia="en-US"/>
              </w:rPr>
              <w:t>**</w:t>
            </w:r>
            <w:r w:rsidR="00C936AE" w:rsidRPr="00781F4C">
              <w:rPr>
                <w:rFonts w:asciiTheme="majorBidi" w:eastAsiaTheme="minorHAnsi" w:hAnsiTheme="majorBidi" w:cstheme="majorBidi"/>
                <w:sz w:val="16"/>
                <w:szCs w:val="16"/>
                <w:vertAlign w:val="superscript"/>
                <w:lang w:val="en-US" w:eastAsia="en-US"/>
              </w:rPr>
              <w:t>*</w:t>
            </w:r>
          </w:p>
        </w:tc>
        <w:tc>
          <w:tcPr>
            <w:tcW w:w="535" w:type="pct"/>
            <w:tcBorders>
              <w:top w:val="single" w:sz="8" w:space="0" w:color="auto"/>
            </w:tcBorders>
          </w:tcPr>
          <w:p w14:paraId="79A517F2" w14:textId="1F4C59E3" w:rsidR="00207B69" w:rsidRPr="00781F4C" w:rsidRDefault="00E4196C" w:rsidP="00CF6621">
            <w:pPr>
              <w:keepNext/>
              <w:spacing w:line="259" w:lineRule="auto"/>
              <w:jc w:val="center"/>
              <w:rPr>
                <w:rFonts w:asciiTheme="majorBidi" w:eastAsiaTheme="minorHAnsi" w:hAnsiTheme="majorBidi" w:cstheme="majorBidi"/>
                <w:sz w:val="16"/>
                <w:szCs w:val="16"/>
                <w:lang w:val="en-US" w:eastAsia="en-US"/>
              </w:rPr>
            </w:pPr>
            <w:r w:rsidRPr="00781F4C">
              <w:rPr>
                <w:rFonts w:asciiTheme="majorBidi" w:eastAsiaTheme="minorHAnsi" w:hAnsiTheme="majorBidi" w:cstheme="majorBidi"/>
                <w:sz w:val="16"/>
                <w:szCs w:val="16"/>
                <w:lang w:val="en-US" w:eastAsia="en-US"/>
              </w:rPr>
              <w:t>-1.5414</w:t>
            </w:r>
          </w:p>
        </w:tc>
        <w:tc>
          <w:tcPr>
            <w:tcW w:w="156" w:type="pct"/>
            <w:tcBorders>
              <w:top w:val="single" w:sz="8" w:space="0" w:color="auto"/>
              <w:right w:val="dashSmallGap" w:sz="12" w:space="0" w:color="auto"/>
            </w:tcBorders>
            <w:tcMar>
              <w:left w:w="0" w:type="dxa"/>
              <w:right w:w="0" w:type="dxa"/>
            </w:tcMar>
          </w:tcPr>
          <w:p w14:paraId="4D94A21D" w14:textId="029E66BE" w:rsidR="00207B69" w:rsidRPr="00781F4C" w:rsidRDefault="00207B69" w:rsidP="00CF6621">
            <w:pPr>
              <w:keepNext/>
              <w:spacing w:line="259" w:lineRule="auto"/>
              <w:jc w:val="center"/>
              <w:rPr>
                <w:rFonts w:asciiTheme="majorBidi" w:eastAsiaTheme="minorHAnsi" w:hAnsiTheme="majorBidi" w:cstheme="majorBidi"/>
                <w:sz w:val="16"/>
                <w:szCs w:val="16"/>
                <w:vertAlign w:val="superscript"/>
                <w:lang w:val="en-US" w:eastAsia="en-US"/>
              </w:rPr>
            </w:pPr>
            <w:r w:rsidRPr="00781F4C">
              <w:rPr>
                <w:rFonts w:asciiTheme="majorBidi" w:eastAsiaTheme="minorHAnsi" w:hAnsiTheme="majorBidi" w:cstheme="majorBidi"/>
                <w:sz w:val="16"/>
                <w:szCs w:val="16"/>
                <w:vertAlign w:val="superscript"/>
                <w:lang w:val="en-US" w:eastAsia="en-US"/>
              </w:rPr>
              <w:t>***</w:t>
            </w:r>
          </w:p>
        </w:tc>
        <w:tc>
          <w:tcPr>
            <w:tcW w:w="536" w:type="pct"/>
            <w:tcBorders>
              <w:top w:val="single" w:sz="8" w:space="0" w:color="auto"/>
              <w:left w:val="dashSmallGap" w:sz="12" w:space="0" w:color="auto"/>
            </w:tcBorders>
            <w:vAlign w:val="center"/>
          </w:tcPr>
          <w:p w14:paraId="01640CEE" w14:textId="38F79DD1" w:rsidR="00207B69" w:rsidRPr="00781F4C" w:rsidRDefault="009F3B94" w:rsidP="00CF6621">
            <w:pPr>
              <w:keepNext/>
              <w:spacing w:line="259" w:lineRule="auto"/>
              <w:jc w:val="center"/>
              <w:rPr>
                <w:rFonts w:asciiTheme="majorBidi" w:eastAsiaTheme="minorHAnsi" w:hAnsiTheme="majorBidi" w:cstheme="majorBidi"/>
                <w:sz w:val="16"/>
                <w:szCs w:val="16"/>
                <w:lang w:val="en-US" w:eastAsia="en-US"/>
              </w:rPr>
            </w:pPr>
            <w:r w:rsidRPr="00781F4C">
              <w:rPr>
                <w:rFonts w:asciiTheme="majorBidi" w:eastAsiaTheme="minorHAnsi" w:hAnsiTheme="majorBidi" w:cstheme="majorBidi"/>
                <w:sz w:val="16"/>
                <w:szCs w:val="16"/>
                <w:lang w:val="en-US" w:eastAsia="en-US"/>
              </w:rPr>
              <w:t>-1.80</w:t>
            </w:r>
            <w:r w:rsidR="00207B69" w:rsidRPr="00781F4C">
              <w:rPr>
                <w:rFonts w:asciiTheme="majorBidi" w:eastAsiaTheme="minorHAnsi" w:hAnsiTheme="majorBidi" w:cstheme="majorBidi"/>
                <w:sz w:val="16"/>
                <w:szCs w:val="16"/>
                <w:lang w:val="en-US" w:eastAsia="en-US"/>
              </w:rPr>
              <w:t>5</w:t>
            </w:r>
            <w:r w:rsidRPr="00781F4C">
              <w:rPr>
                <w:rFonts w:asciiTheme="majorBidi" w:eastAsiaTheme="minorHAnsi" w:hAnsiTheme="majorBidi" w:cstheme="majorBidi"/>
                <w:sz w:val="16"/>
                <w:szCs w:val="16"/>
                <w:lang w:val="en-US" w:eastAsia="en-US"/>
              </w:rPr>
              <w:t>0</w:t>
            </w:r>
          </w:p>
        </w:tc>
        <w:tc>
          <w:tcPr>
            <w:tcW w:w="266" w:type="pct"/>
            <w:tcBorders>
              <w:top w:val="single" w:sz="8" w:space="0" w:color="auto"/>
            </w:tcBorders>
            <w:tcMar>
              <w:left w:w="0" w:type="dxa"/>
            </w:tcMar>
            <w:vAlign w:val="center"/>
          </w:tcPr>
          <w:p w14:paraId="7650B92F" w14:textId="77777777" w:rsidR="00207B69" w:rsidRPr="00781F4C" w:rsidRDefault="00207B69" w:rsidP="00CF6621">
            <w:pPr>
              <w:keepNext/>
              <w:spacing w:line="259" w:lineRule="auto"/>
              <w:jc w:val="center"/>
              <w:rPr>
                <w:rFonts w:asciiTheme="majorBidi" w:eastAsiaTheme="minorHAnsi" w:hAnsiTheme="majorBidi" w:cstheme="majorBidi"/>
                <w:sz w:val="16"/>
                <w:szCs w:val="16"/>
                <w:vertAlign w:val="superscript"/>
                <w:lang w:val="en-US" w:eastAsia="en-US"/>
              </w:rPr>
            </w:pPr>
            <w:r w:rsidRPr="00781F4C">
              <w:rPr>
                <w:rFonts w:asciiTheme="majorBidi" w:eastAsiaTheme="minorHAnsi" w:hAnsiTheme="majorBidi" w:cstheme="majorBidi"/>
                <w:sz w:val="16"/>
                <w:szCs w:val="16"/>
                <w:vertAlign w:val="superscript"/>
                <w:lang w:val="en-US" w:eastAsia="en-US"/>
              </w:rPr>
              <w:t>***</w:t>
            </w:r>
          </w:p>
        </w:tc>
      </w:tr>
      <w:tr w:rsidR="00E4196C" w:rsidRPr="00781F4C" w14:paraId="49D3C4CB" w14:textId="77777777" w:rsidTr="00207B69">
        <w:trPr>
          <w:jc w:val="center"/>
        </w:trPr>
        <w:tc>
          <w:tcPr>
            <w:tcW w:w="741" w:type="pct"/>
            <w:tcBorders>
              <w:right w:val="dashSmallGap" w:sz="12" w:space="0" w:color="auto"/>
            </w:tcBorders>
            <w:vAlign w:val="center"/>
          </w:tcPr>
          <w:p w14:paraId="6FCCA2F1" w14:textId="50E9FFE4" w:rsidR="00207B69" w:rsidRPr="00781F4C" w:rsidRDefault="00C12481" w:rsidP="00A234A9">
            <w:pPr>
              <w:keepNext/>
              <w:rPr>
                <w:rFonts w:asciiTheme="majorBidi" w:hAnsiTheme="majorBidi" w:cstheme="majorBidi"/>
                <w:sz w:val="16"/>
                <w:szCs w:val="16"/>
                <w:lang w:val="en-US" w:bidi="fa-IR"/>
              </w:rPr>
            </w:pPr>
            <w:r w:rsidRPr="00781F4C">
              <w:rPr>
                <w:rFonts w:asciiTheme="majorBidi" w:hAnsiTheme="majorBidi" w:cstheme="majorBidi"/>
                <w:sz w:val="16"/>
                <w:szCs w:val="16"/>
                <w:lang w:val="en-US" w:bidi="fa-IR"/>
              </w:rPr>
              <w:t>LTO</w:t>
            </w:r>
          </w:p>
        </w:tc>
        <w:tc>
          <w:tcPr>
            <w:tcW w:w="639" w:type="pct"/>
            <w:tcBorders>
              <w:left w:val="dashSmallGap" w:sz="12" w:space="0" w:color="auto"/>
            </w:tcBorders>
          </w:tcPr>
          <w:p w14:paraId="1893E759" w14:textId="7F66F0D2" w:rsidR="00207B69" w:rsidRPr="00781F4C" w:rsidRDefault="00207B69" w:rsidP="00CF6621">
            <w:pPr>
              <w:keepNext/>
              <w:spacing w:line="259" w:lineRule="auto"/>
              <w:jc w:val="center"/>
              <w:rPr>
                <w:rFonts w:asciiTheme="majorBidi" w:eastAsiaTheme="minorHAnsi" w:hAnsiTheme="majorBidi" w:cstheme="majorBidi"/>
                <w:sz w:val="16"/>
                <w:szCs w:val="16"/>
                <w:lang w:val="en-US" w:eastAsia="en-US"/>
              </w:rPr>
            </w:pPr>
            <w:r w:rsidRPr="00781F4C">
              <w:rPr>
                <w:rFonts w:asciiTheme="majorBidi" w:eastAsiaTheme="minorHAnsi" w:hAnsiTheme="majorBidi" w:cstheme="majorBidi"/>
                <w:sz w:val="16"/>
                <w:szCs w:val="16"/>
                <w:lang w:val="en-US" w:eastAsia="en-US"/>
              </w:rPr>
              <w:t>-0.3777</w:t>
            </w:r>
          </w:p>
        </w:tc>
        <w:tc>
          <w:tcPr>
            <w:tcW w:w="157" w:type="pct"/>
            <w:tcMar>
              <w:left w:w="0" w:type="dxa"/>
            </w:tcMar>
          </w:tcPr>
          <w:p w14:paraId="7D1EF51B" w14:textId="3C8EBBF9" w:rsidR="00207B69" w:rsidRPr="00781F4C" w:rsidRDefault="00207B69" w:rsidP="00CF6621">
            <w:pPr>
              <w:keepNext/>
              <w:spacing w:line="259" w:lineRule="auto"/>
              <w:jc w:val="center"/>
              <w:rPr>
                <w:rFonts w:asciiTheme="majorBidi" w:eastAsiaTheme="minorHAnsi" w:hAnsiTheme="majorBidi" w:cstheme="majorBidi"/>
                <w:sz w:val="16"/>
                <w:szCs w:val="16"/>
                <w:vertAlign w:val="superscript"/>
                <w:lang w:val="en-US" w:eastAsia="en-US"/>
              </w:rPr>
            </w:pPr>
            <w:r w:rsidRPr="00781F4C">
              <w:rPr>
                <w:rFonts w:asciiTheme="majorBidi" w:eastAsiaTheme="minorHAnsi" w:hAnsiTheme="majorBidi" w:cstheme="majorBidi"/>
                <w:sz w:val="16"/>
                <w:szCs w:val="16"/>
                <w:vertAlign w:val="superscript"/>
                <w:lang w:val="en-US" w:eastAsia="en-US"/>
              </w:rPr>
              <w:t>***</w:t>
            </w:r>
          </w:p>
        </w:tc>
        <w:tc>
          <w:tcPr>
            <w:tcW w:w="486" w:type="pct"/>
          </w:tcPr>
          <w:p w14:paraId="27ADFA5B" w14:textId="05AFB75B" w:rsidR="00207B69" w:rsidRPr="00781F4C" w:rsidRDefault="00207B69" w:rsidP="00CF6621">
            <w:pPr>
              <w:keepNext/>
              <w:spacing w:line="259" w:lineRule="auto"/>
              <w:jc w:val="center"/>
              <w:rPr>
                <w:rFonts w:asciiTheme="majorBidi" w:eastAsiaTheme="minorHAnsi" w:hAnsiTheme="majorBidi" w:cstheme="majorBidi"/>
                <w:sz w:val="16"/>
                <w:szCs w:val="16"/>
                <w:lang w:val="en-US" w:eastAsia="en-US"/>
              </w:rPr>
            </w:pPr>
            <w:r w:rsidRPr="00781F4C">
              <w:rPr>
                <w:rFonts w:asciiTheme="majorBidi" w:eastAsiaTheme="minorHAnsi" w:hAnsiTheme="majorBidi" w:cstheme="majorBidi"/>
                <w:sz w:val="16"/>
                <w:szCs w:val="16"/>
                <w:lang w:val="en-US" w:eastAsia="en-US"/>
              </w:rPr>
              <w:t>-0.4672</w:t>
            </w:r>
          </w:p>
        </w:tc>
        <w:tc>
          <w:tcPr>
            <w:tcW w:w="157" w:type="pct"/>
            <w:gridSpan w:val="2"/>
            <w:tcMar>
              <w:left w:w="0" w:type="dxa"/>
            </w:tcMar>
          </w:tcPr>
          <w:p w14:paraId="586A3E1D" w14:textId="39D579BC" w:rsidR="00207B69" w:rsidRPr="00781F4C" w:rsidRDefault="00207B69" w:rsidP="00CF6621">
            <w:pPr>
              <w:keepNext/>
              <w:spacing w:line="259" w:lineRule="auto"/>
              <w:jc w:val="center"/>
              <w:rPr>
                <w:rFonts w:asciiTheme="majorBidi" w:eastAsiaTheme="minorHAnsi" w:hAnsiTheme="majorBidi" w:cstheme="majorBidi"/>
                <w:sz w:val="16"/>
                <w:szCs w:val="16"/>
                <w:lang w:val="en-US" w:eastAsia="en-US"/>
              </w:rPr>
            </w:pPr>
            <w:r w:rsidRPr="00781F4C">
              <w:rPr>
                <w:rFonts w:asciiTheme="majorBidi" w:eastAsiaTheme="minorHAnsi" w:hAnsiTheme="majorBidi" w:cstheme="majorBidi"/>
                <w:sz w:val="16"/>
                <w:szCs w:val="16"/>
                <w:vertAlign w:val="superscript"/>
                <w:lang w:val="en-US" w:eastAsia="en-US"/>
              </w:rPr>
              <w:t>***</w:t>
            </w:r>
          </w:p>
        </w:tc>
        <w:tc>
          <w:tcPr>
            <w:tcW w:w="492" w:type="pct"/>
            <w:vAlign w:val="center"/>
          </w:tcPr>
          <w:p w14:paraId="7EDDBC31" w14:textId="5F95F93A" w:rsidR="00207B69" w:rsidRPr="00781F4C" w:rsidRDefault="00207B69" w:rsidP="00CF6621">
            <w:pPr>
              <w:keepNext/>
              <w:spacing w:line="259" w:lineRule="auto"/>
              <w:jc w:val="center"/>
              <w:rPr>
                <w:rFonts w:asciiTheme="majorBidi" w:eastAsiaTheme="minorHAnsi" w:hAnsiTheme="majorBidi" w:cstheme="majorBidi"/>
                <w:sz w:val="16"/>
                <w:szCs w:val="16"/>
                <w:lang w:val="en-US" w:eastAsia="en-US"/>
              </w:rPr>
            </w:pPr>
            <w:r w:rsidRPr="00781F4C">
              <w:rPr>
                <w:rFonts w:asciiTheme="majorBidi" w:eastAsiaTheme="minorHAnsi" w:hAnsiTheme="majorBidi" w:cstheme="majorBidi"/>
                <w:sz w:val="16"/>
                <w:szCs w:val="16"/>
                <w:lang w:val="en-US" w:eastAsia="en-US"/>
              </w:rPr>
              <w:t>-0.7054</w:t>
            </w:r>
          </w:p>
        </w:tc>
        <w:tc>
          <w:tcPr>
            <w:tcW w:w="157" w:type="pct"/>
            <w:tcMar>
              <w:left w:w="0" w:type="dxa"/>
            </w:tcMar>
            <w:vAlign w:val="center"/>
          </w:tcPr>
          <w:p w14:paraId="1B89A5F4" w14:textId="77777777" w:rsidR="00207B69" w:rsidRPr="00781F4C" w:rsidRDefault="00207B69" w:rsidP="00CF6621">
            <w:pPr>
              <w:keepNext/>
              <w:spacing w:line="259" w:lineRule="auto"/>
              <w:jc w:val="center"/>
              <w:rPr>
                <w:rFonts w:asciiTheme="majorBidi" w:eastAsiaTheme="minorHAnsi" w:hAnsiTheme="majorBidi" w:cstheme="majorBidi"/>
                <w:sz w:val="16"/>
                <w:szCs w:val="16"/>
                <w:vertAlign w:val="superscript"/>
                <w:lang w:val="en-US" w:eastAsia="en-US"/>
              </w:rPr>
            </w:pPr>
            <w:r w:rsidRPr="00781F4C">
              <w:rPr>
                <w:rFonts w:asciiTheme="majorBidi" w:eastAsiaTheme="minorHAnsi" w:hAnsiTheme="majorBidi" w:cstheme="majorBidi"/>
                <w:sz w:val="16"/>
                <w:szCs w:val="16"/>
                <w:vertAlign w:val="superscript"/>
                <w:lang w:val="en-US" w:eastAsia="en-US"/>
              </w:rPr>
              <w:t>***</w:t>
            </w:r>
          </w:p>
        </w:tc>
        <w:tc>
          <w:tcPr>
            <w:tcW w:w="507" w:type="pct"/>
            <w:vAlign w:val="center"/>
          </w:tcPr>
          <w:p w14:paraId="0AB048C0" w14:textId="100F48BB" w:rsidR="00207B69" w:rsidRPr="00781F4C" w:rsidRDefault="00C936AE" w:rsidP="00CF6621">
            <w:pPr>
              <w:keepNext/>
              <w:spacing w:line="259" w:lineRule="auto"/>
              <w:jc w:val="center"/>
              <w:rPr>
                <w:rFonts w:asciiTheme="majorBidi" w:eastAsiaTheme="minorHAnsi" w:hAnsiTheme="majorBidi" w:cstheme="majorBidi"/>
                <w:sz w:val="16"/>
                <w:szCs w:val="16"/>
                <w:lang w:val="en-US" w:eastAsia="en-US"/>
              </w:rPr>
            </w:pPr>
            <w:r w:rsidRPr="00781F4C">
              <w:rPr>
                <w:rFonts w:asciiTheme="majorBidi" w:eastAsiaTheme="minorHAnsi" w:hAnsiTheme="majorBidi" w:cstheme="majorBidi"/>
                <w:sz w:val="16"/>
                <w:szCs w:val="16"/>
                <w:lang w:val="en-US" w:eastAsia="en-US"/>
              </w:rPr>
              <w:t>-0.7346</w:t>
            </w:r>
          </w:p>
        </w:tc>
        <w:tc>
          <w:tcPr>
            <w:tcW w:w="172" w:type="pct"/>
            <w:tcMar>
              <w:left w:w="0" w:type="dxa"/>
            </w:tcMar>
            <w:vAlign w:val="center"/>
          </w:tcPr>
          <w:p w14:paraId="27E3AFB0" w14:textId="77777777" w:rsidR="00207B69" w:rsidRPr="00781F4C" w:rsidRDefault="00207B69" w:rsidP="00CF6621">
            <w:pPr>
              <w:keepNext/>
              <w:spacing w:line="259" w:lineRule="auto"/>
              <w:jc w:val="center"/>
              <w:rPr>
                <w:rFonts w:asciiTheme="majorBidi" w:eastAsiaTheme="minorHAnsi" w:hAnsiTheme="majorBidi" w:cstheme="majorBidi"/>
                <w:sz w:val="16"/>
                <w:szCs w:val="16"/>
                <w:vertAlign w:val="superscript"/>
                <w:lang w:val="en-US" w:eastAsia="en-US"/>
              </w:rPr>
            </w:pPr>
            <w:r w:rsidRPr="00781F4C">
              <w:rPr>
                <w:rFonts w:asciiTheme="majorBidi" w:eastAsiaTheme="minorHAnsi" w:hAnsiTheme="majorBidi" w:cstheme="majorBidi"/>
                <w:sz w:val="16"/>
                <w:szCs w:val="16"/>
                <w:vertAlign w:val="superscript"/>
                <w:lang w:val="en-US" w:eastAsia="en-US"/>
              </w:rPr>
              <w:t>***</w:t>
            </w:r>
          </w:p>
        </w:tc>
        <w:tc>
          <w:tcPr>
            <w:tcW w:w="535" w:type="pct"/>
            <w:vAlign w:val="center"/>
          </w:tcPr>
          <w:p w14:paraId="64D7C6C8" w14:textId="307F50D2" w:rsidR="00207B69" w:rsidRPr="00781F4C" w:rsidRDefault="00E4196C" w:rsidP="00CF6621">
            <w:pPr>
              <w:keepNext/>
              <w:spacing w:line="259" w:lineRule="auto"/>
              <w:jc w:val="center"/>
              <w:rPr>
                <w:rFonts w:asciiTheme="majorBidi" w:eastAsiaTheme="minorHAnsi" w:hAnsiTheme="majorBidi" w:cstheme="majorBidi"/>
                <w:sz w:val="16"/>
                <w:szCs w:val="16"/>
                <w:lang w:val="en-US" w:eastAsia="en-US"/>
              </w:rPr>
            </w:pPr>
            <w:r w:rsidRPr="00781F4C">
              <w:rPr>
                <w:rFonts w:asciiTheme="majorBidi" w:eastAsiaTheme="minorHAnsi" w:hAnsiTheme="majorBidi" w:cstheme="majorBidi"/>
                <w:sz w:val="16"/>
                <w:szCs w:val="16"/>
                <w:lang w:val="en-US" w:eastAsia="en-US"/>
              </w:rPr>
              <w:t>-0.4867</w:t>
            </w:r>
          </w:p>
        </w:tc>
        <w:tc>
          <w:tcPr>
            <w:tcW w:w="156" w:type="pct"/>
            <w:tcBorders>
              <w:right w:val="dashSmallGap" w:sz="12" w:space="0" w:color="auto"/>
            </w:tcBorders>
            <w:tcMar>
              <w:left w:w="0" w:type="dxa"/>
              <w:right w:w="0" w:type="dxa"/>
            </w:tcMar>
            <w:vAlign w:val="center"/>
          </w:tcPr>
          <w:p w14:paraId="44F1CA50" w14:textId="77777777" w:rsidR="00207B69" w:rsidRPr="00781F4C" w:rsidRDefault="00207B69" w:rsidP="00CF6621">
            <w:pPr>
              <w:keepNext/>
              <w:spacing w:line="259" w:lineRule="auto"/>
              <w:jc w:val="center"/>
              <w:rPr>
                <w:rFonts w:asciiTheme="majorBidi" w:eastAsiaTheme="minorHAnsi" w:hAnsiTheme="majorBidi" w:cstheme="majorBidi"/>
                <w:sz w:val="16"/>
                <w:szCs w:val="16"/>
                <w:vertAlign w:val="superscript"/>
                <w:lang w:val="en-US" w:eastAsia="en-US"/>
              </w:rPr>
            </w:pPr>
            <w:r w:rsidRPr="00781F4C">
              <w:rPr>
                <w:rFonts w:asciiTheme="majorBidi" w:eastAsiaTheme="minorHAnsi" w:hAnsiTheme="majorBidi" w:cstheme="majorBidi"/>
                <w:sz w:val="16"/>
                <w:szCs w:val="16"/>
                <w:vertAlign w:val="superscript"/>
                <w:lang w:val="en-US" w:eastAsia="en-US"/>
              </w:rPr>
              <w:t>***</w:t>
            </w:r>
          </w:p>
        </w:tc>
        <w:tc>
          <w:tcPr>
            <w:tcW w:w="536" w:type="pct"/>
            <w:tcBorders>
              <w:left w:val="dashSmallGap" w:sz="12" w:space="0" w:color="auto"/>
            </w:tcBorders>
            <w:vAlign w:val="center"/>
          </w:tcPr>
          <w:p w14:paraId="7A8BA343" w14:textId="74393785" w:rsidR="00207B69" w:rsidRPr="00781F4C" w:rsidRDefault="009F3B94" w:rsidP="00CF6621">
            <w:pPr>
              <w:keepNext/>
              <w:spacing w:line="259" w:lineRule="auto"/>
              <w:jc w:val="center"/>
              <w:rPr>
                <w:rFonts w:asciiTheme="majorBidi" w:eastAsiaTheme="minorHAnsi" w:hAnsiTheme="majorBidi" w:cstheme="majorBidi"/>
                <w:sz w:val="16"/>
                <w:szCs w:val="16"/>
                <w:lang w:val="en-US" w:eastAsia="en-US"/>
              </w:rPr>
            </w:pPr>
            <w:r w:rsidRPr="00781F4C">
              <w:rPr>
                <w:rFonts w:asciiTheme="majorBidi" w:eastAsiaTheme="minorHAnsi" w:hAnsiTheme="majorBidi" w:cstheme="majorBidi"/>
                <w:sz w:val="16"/>
                <w:szCs w:val="16"/>
                <w:lang w:val="en-US" w:eastAsia="en-US"/>
              </w:rPr>
              <w:t>-0.5076</w:t>
            </w:r>
          </w:p>
        </w:tc>
        <w:tc>
          <w:tcPr>
            <w:tcW w:w="266" w:type="pct"/>
            <w:tcMar>
              <w:left w:w="0" w:type="dxa"/>
            </w:tcMar>
            <w:vAlign w:val="center"/>
          </w:tcPr>
          <w:p w14:paraId="5A0340A4" w14:textId="77777777" w:rsidR="00207B69" w:rsidRPr="00781F4C" w:rsidRDefault="00207B69" w:rsidP="00CF6621">
            <w:pPr>
              <w:keepNext/>
              <w:spacing w:line="259" w:lineRule="auto"/>
              <w:jc w:val="center"/>
              <w:rPr>
                <w:rFonts w:asciiTheme="majorBidi" w:eastAsiaTheme="minorHAnsi" w:hAnsiTheme="majorBidi" w:cstheme="majorBidi"/>
                <w:sz w:val="16"/>
                <w:szCs w:val="16"/>
                <w:lang w:val="en-US" w:eastAsia="en-US"/>
              </w:rPr>
            </w:pPr>
            <w:r w:rsidRPr="00781F4C">
              <w:rPr>
                <w:rFonts w:asciiTheme="majorBidi" w:eastAsiaTheme="minorHAnsi" w:hAnsiTheme="majorBidi" w:cstheme="majorBidi"/>
                <w:sz w:val="16"/>
                <w:szCs w:val="16"/>
                <w:vertAlign w:val="superscript"/>
                <w:lang w:val="en-US" w:eastAsia="en-US"/>
              </w:rPr>
              <w:t>***</w:t>
            </w:r>
          </w:p>
        </w:tc>
      </w:tr>
      <w:tr w:rsidR="00207B69" w:rsidRPr="00781F4C" w14:paraId="1F6E6DA9" w14:textId="77777777" w:rsidTr="00207B69">
        <w:trPr>
          <w:jc w:val="center"/>
        </w:trPr>
        <w:tc>
          <w:tcPr>
            <w:tcW w:w="741" w:type="pct"/>
            <w:tcBorders>
              <w:right w:val="dashSmallGap" w:sz="12" w:space="0" w:color="auto"/>
            </w:tcBorders>
            <w:vAlign w:val="center"/>
          </w:tcPr>
          <w:p w14:paraId="5C318B31" w14:textId="3ABE68E0" w:rsidR="007D506E" w:rsidRPr="00781F4C" w:rsidRDefault="00AA04D8" w:rsidP="00A234A9">
            <w:pPr>
              <w:keepNext/>
              <w:rPr>
                <w:rFonts w:asciiTheme="majorBidi" w:hAnsiTheme="majorBidi" w:cstheme="majorBidi"/>
                <w:sz w:val="16"/>
                <w:szCs w:val="16"/>
                <w:lang w:val="en-US" w:bidi="fa-IR"/>
              </w:rPr>
            </w:pPr>
            <w:r w:rsidRPr="00781F4C">
              <w:rPr>
                <w:rFonts w:asciiTheme="majorBidi" w:hAnsiTheme="majorBidi" w:cstheme="majorBidi"/>
                <w:sz w:val="16"/>
                <w:szCs w:val="16"/>
                <w:lang w:val="en-US" w:bidi="fa-IR"/>
              </w:rPr>
              <w:t>LUR</w:t>
            </w:r>
          </w:p>
        </w:tc>
        <w:tc>
          <w:tcPr>
            <w:tcW w:w="639" w:type="pct"/>
            <w:tcBorders>
              <w:left w:val="dashSmallGap" w:sz="12" w:space="0" w:color="auto"/>
            </w:tcBorders>
            <w:vAlign w:val="center"/>
          </w:tcPr>
          <w:p w14:paraId="73B5C2C5" w14:textId="69BD2FBF" w:rsidR="007D506E" w:rsidRPr="00781F4C" w:rsidRDefault="00AA04D8" w:rsidP="00CF6621">
            <w:pPr>
              <w:keepNext/>
              <w:spacing w:line="259" w:lineRule="auto"/>
              <w:jc w:val="center"/>
              <w:rPr>
                <w:rFonts w:asciiTheme="majorBidi" w:eastAsiaTheme="minorHAnsi" w:hAnsiTheme="majorBidi" w:cstheme="majorBidi"/>
                <w:sz w:val="16"/>
                <w:szCs w:val="16"/>
                <w:lang w:val="en-US" w:eastAsia="en-US"/>
              </w:rPr>
            </w:pPr>
            <w:r w:rsidRPr="00781F4C">
              <w:rPr>
                <w:rFonts w:asciiTheme="majorBidi" w:eastAsiaTheme="minorHAnsi" w:hAnsiTheme="majorBidi" w:cstheme="majorBidi"/>
                <w:sz w:val="16"/>
                <w:szCs w:val="16"/>
                <w:lang w:val="en-US" w:eastAsia="en-US"/>
              </w:rPr>
              <w:t>-0.6298</w:t>
            </w:r>
          </w:p>
        </w:tc>
        <w:tc>
          <w:tcPr>
            <w:tcW w:w="157" w:type="pct"/>
            <w:tcMar>
              <w:left w:w="0" w:type="dxa"/>
            </w:tcMar>
            <w:vAlign w:val="center"/>
          </w:tcPr>
          <w:p w14:paraId="1EFDF5F5" w14:textId="77777777" w:rsidR="007D506E" w:rsidRPr="00781F4C" w:rsidRDefault="007D506E" w:rsidP="00CF6621">
            <w:pPr>
              <w:keepNext/>
              <w:spacing w:line="259" w:lineRule="auto"/>
              <w:jc w:val="center"/>
              <w:rPr>
                <w:rFonts w:asciiTheme="majorBidi" w:eastAsiaTheme="minorHAnsi" w:hAnsiTheme="majorBidi" w:cstheme="majorBidi"/>
                <w:sz w:val="16"/>
                <w:szCs w:val="16"/>
                <w:vertAlign w:val="superscript"/>
                <w:lang w:val="en-US" w:eastAsia="en-US"/>
              </w:rPr>
            </w:pPr>
            <w:r w:rsidRPr="00781F4C">
              <w:rPr>
                <w:rFonts w:asciiTheme="majorBidi" w:eastAsiaTheme="minorHAnsi" w:hAnsiTheme="majorBidi" w:cstheme="majorBidi"/>
                <w:sz w:val="16"/>
                <w:szCs w:val="16"/>
                <w:vertAlign w:val="superscript"/>
                <w:lang w:val="en-US" w:eastAsia="en-US"/>
              </w:rPr>
              <w:t>***</w:t>
            </w:r>
          </w:p>
        </w:tc>
        <w:tc>
          <w:tcPr>
            <w:tcW w:w="486" w:type="pct"/>
            <w:vAlign w:val="center"/>
          </w:tcPr>
          <w:p w14:paraId="0FD16B2F" w14:textId="4119D295" w:rsidR="007D506E" w:rsidRPr="00781F4C" w:rsidRDefault="00207B69" w:rsidP="00CF6621">
            <w:pPr>
              <w:keepNext/>
              <w:spacing w:line="259" w:lineRule="auto"/>
              <w:jc w:val="center"/>
              <w:rPr>
                <w:rFonts w:asciiTheme="majorBidi" w:eastAsiaTheme="minorHAnsi" w:hAnsiTheme="majorBidi" w:cstheme="majorBidi"/>
                <w:sz w:val="16"/>
                <w:szCs w:val="16"/>
                <w:lang w:val="en-US" w:eastAsia="en-US"/>
              </w:rPr>
            </w:pPr>
            <w:r w:rsidRPr="00781F4C">
              <w:rPr>
                <w:rFonts w:asciiTheme="majorBidi" w:eastAsiaTheme="minorHAnsi" w:hAnsiTheme="majorBidi" w:cstheme="majorBidi"/>
                <w:sz w:val="16"/>
                <w:szCs w:val="16"/>
                <w:lang w:val="en-US" w:eastAsia="en-US"/>
              </w:rPr>
              <w:t>-0.6996</w:t>
            </w:r>
          </w:p>
        </w:tc>
        <w:tc>
          <w:tcPr>
            <w:tcW w:w="157" w:type="pct"/>
            <w:gridSpan w:val="2"/>
            <w:tcMar>
              <w:left w:w="0" w:type="dxa"/>
            </w:tcMar>
            <w:vAlign w:val="center"/>
          </w:tcPr>
          <w:p w14:paraId="70099FDF" w14:textId="77777777" w:rsidR="007D506E" w:rsidRPr="00781F4C" w:rsidRDefault="007D506E" w:rsidP="00CF6621">
            <w:pPr>
              <w:keepNext/>
              <w:spacing w:line="259" w:lineRule="auto"/>
              <w:jc w:val="center"/>
              <w:rPr>
                <w:rFonts w:asciiTheme="majorBidi" w:eastAsiaTheme="minorHAnsi" w:hAnsiTheme="majorBidi" w:cstheme="majorBidi"/>
                <w:sz w:val="16"/>
                <w:szCs w:val="16"/>
                <w:vertAlign w:val="superscript"/>
                <w:lang w:val="en-US" w:eastAsia="en-US"/>
              </w:rPr>
            </w:pPr>
            <w:r w:rsidRPr="00781F4C">
              <w:rPr>
                <w:rFonts w:asciiTheme="majorBidi" w:eastAsiaTheme="minorHAnsi" w:hAnsiTheme="majorBidi" w:cstheme="majorBidi"/>
                <w:sz w:val="16"/>
                <w:szCs w:val="16"/>
                <w:vertAlign w:val="superscript"/>
                <w:lang w:val="en-US" w:eastAsia="en-US"/>
              </w:rPr>
              <w:t>***</w:t>
            </w:r>
          </w:p>
        </w:tc>
        <w:tc>
          <w:tcPr>
            <w:tcW w:w="492" w:type="pct"/>
            <w:vAlign w:val="center"/>
          </w:tcPr>
          <w:p w14:paraId="3C4717E3" w14:textId="4F3D8572" w:rsidR="007D506E" w:rsidRPr="00781F4C" w:rsidRDefault="00207B69" w:rsidP="00CF6621">
            <w:pPr>
              <w:keepNext/>
              <w:spacing w:line="259" w:lineRule="auto"/>
              <w:jc w:val="center"/>
              <w:rPr>
                <w:rFonts w:asciiTheme="majorBidi" w:eastAsiaTheme="minorHAnsi" w:hAnsiTheme="majorBidi" w:cstheme="majorBidi"/>
                <w:sz w:val="16"/>
                <w:szCs w:val="16"/>
                <w:lang w:val="en-US" w:eastAsia="en-US"/>
              </w:rPr>
            </w:pPr>
            <w:r w:rsidRPr="00781F4C">
              <w:rPr>
                <w:rFonts w:asciiTheme="majorBidi" w:eastAsiaTheme="minorHAnsi" w:hAnsiTheme="majorBidi" w:cstheme="majorBidi"/>
                <w:sz w:val="16"/>
                <w:szCs w:val="16"/>
                <w:lang w:val="en-US" w:eastAsia="en-US"/>
              </w:rPr>
              <w:t>-1.2684</w:t>
            </w:r>
          </w:p>
        </w:tc>
        <w:tc>
          <w:tcPr>
            <w:tcW w:w="157" w:type="pct"/>
            <w:tcMar>
              <w:left w:w="0" w:type="dxa"/>
            </w:tcMar>
            <w:vAlign w:val="center"/>
          </w:tcPr>
          <w:p w14:paraId="0E6C2C45" w14:textId="77777777" w:rsidR="007D506E" w:rsidRPr="00781F4C" w:rsidRDefault="007D506E" w:rsidP="00CF6621">
            <w:pPr>
              <w:keepNext/>
              <w:spacing w:line="259" w:lineRule="auto"/>
              <w:jc w:val="center"/>
              <w:rPr>
                <w:rFonts w:asciiTheme="majorBidi" w:eastAsiaTheme="minorHAnsi" w:hAnsiTheme="majorBidi" w:cstheme="majorBidi"/>
                <w:sz w:val="16"/>
                <w:szCs w:val="16"/>
                <w:vertAlign w:val="superscript"/>
                <w:lang w:val="en-US" w:eastAsia="en-US"/>
              </w:rPr>
            </w:pPr>
            <w:r w:rsidRPr="00781F4C">
              <w:rPr>
                <w:rFonts w:asciiTheme="majorBidi" w:eastAsiaTheme="minorHAnsi" w:hAnsiTheme="majorBidi" w:cstheme="majorBidi"/>
                <w:sz w:val="16"/>
                <w:szCs w:val="16"/>
                <w:vertAlign w:val="superscript"/>
                <w:lang w:val="en-US" w:eastAsia="en-US"/>
              </w:rPr>
              <w:t>***</w:t>
            </w:r>
          </w:p>
        </w:tc>
        <w:tc>
          <w:tcPr>
            <w:tcW w:w="507" w:type="pct"/>
            <w:vAlign w:val="center"/>
          </w:tcPr>
          <w:p w14:paraId="66EB0D82" w14:textId="56732D5A" w:rsidR="007D506E" w:rsidRPr="00781F4C" w:rsidRDefault="00C936AE" w:rsidP="00CF6621">
            <w:pPr>
              <w:keepNext/>
              <w:spacing w:line="259" w:lineRule="auto"/>
              <w:jc w:val="center"/>
              <w:rPr>
                <w:rFonts w:asciiTheme="majorBidi" w:eastAsiaTheme="minorHAnsi" w:hAnsiTheme="majorBidi" w:cstheme="majorBidi"/>
                <w:sz w:val="16"/>
                <w:szCs w:val="16"/>
                <w:lang w:val="en-US" w:eastAsia="en-US"/>
              </w:rPr>
            </w:pPr>
            <w:r w:rsidRPr="00781F4C">
              <w:rPr>
                <w:rFonts w:asciiTheme="majorBidi" w:eastAsiaTheme="minorHAnsi" w:hAnsiTheme="majorBidi" w:cstheme="majorBidi"/>
                <w:sz w:val="16"/>
                <w:szCs w:val="16"/>
                <w:lang w:val="en-US" w:eastAsia="en-US"/>
              </w:rPr>
              <w:t>-1.8501</w:t>
            </w:r>
          </w:p>
        </w:tc>
        <w:tc>
          <w:tcPr>
            <w:tcW w:w="172" w:type="pct"/>
            <w:tcMar>
              <w:left w:w="0" w:type="dxa"/>
            </w:tcMar>
            <w:vAlign w:val="center"/>
          </w:tcPr>
          <w:p w14:paraId="62722824" w14:textId="77777777" w:rsidR="007D506E" w:rsidRPr="00781F4C" w:rsidRDefault="007D506E" w:rsidP="00CF6621">
            <w:pPr>
              <w:keepNext/>
              <w:spacing w:line="259" w:lineRule="auto"/>
              <w:jc w:val="center"/>
              <w:rPr>
                <w:rFonts w:asciiTheme="majorBidi" w:eastAsiaTheme="minorHAnsi" w:hAnsiTheme="majorBidi" w:cstheme="majorBidi"/>
                <w:sz w:val="16"/>
                <w:szCs w:val="16"/>
                <w:vertAlign w:val="superscript"/>
                <w:lang w:val="en-US" w:eastAsia="en-US"/>
              </w:rPr>
            </w:pPr>
            <w:r w:rsidRPr="00781F4C">
              <w:rPr>
                <w:rFonts w:asciiTheme="majorBidi" w:eastAsiaTheme="minorHAnsi" w:hAnsiTheme="majorBidi" w:cstheme="majorBidi"/>
                <w:sz w:val="16"/>
                <w:szCs w:val="16"/>
                <w:vertAlign w:val="superscript"/>
                <w:lang w:val="en-US" w:eastAsia="en-US"/>
              </w:rPr>
              <w:t>***</w:t>
            </w:r>
          </w:p>
        </w:tc>
        <w:tc>
          <w:tcPr>
            <w:tcW w:w="535" w:type="pct"/>
            <w:vAlign w:val="center"/>
          </w:tcPr>
          <w:p w14:paraId="507AC6D7" w14:textId="1166FA7F" w:rsidR="007D506E" w:rsidRPr="00781F4C" w:rsidRDefault="00E4196C" w:rsidP="00CF6621">
            <w:pPr>
              <w:keepNext/>
              <w:spacing w:line="259" w:lineRule="auto"/>
              <w:jc w:val="center"/>
              <w:rPr>
                <w:rFonts w:asciiTheme="majorBidi" w:eastAsiaTheme="minorHAnsi" w:hAnsiTheme="majorBidi" w:cstheme="majorBidi"/>
                <w:sz w:val="16"/>
                <w:szCs w:val="16"/>
                <w:lang w:val="en-US" w:eastAsia="en-US"/>
              </w:rPr>
            </w:pPr>
            <w:r w:rsidRPr="00781F4C">
              <w:rPr>
                <w:rFonts w:asciiTheme="majorBidi" w:eastAsiaTheme="minorHAnsi" w:hAnsiTheme="majorBidi" w:cstheme="majorBidi"/>
                <w:sz w:val="16"/>
                <w:szCs w:val="16"/>
                <w:lang w:val="en-US" w:eastAsia="en-US"/>
              </w:rPr>
              <w:t>-3.3194</w:t>
            </w:r>
          </w:p>
        </w:tc>
        <w:tc>
          <w:tcPr>
            <w:tcW w:w="156" w:type="pct"/>
            <w:tcBorders>
              <w:right w:val="dashSmallGap" w:sz="12" w:space="0" w:color="auto"/>
            </w:tcBorders>
            <w:tcMar>
              <w:left w:w="0" w:type="dxa"/>
              <w:right w:w="0" w:type="dxa"/>
            </w:tcMar>
            <w:vAlign w:val="center"/>
          </w:tcPr>
          <w:p w14:paraId="112B172D" w14:textId="77777777" w:rsidR="007D506E" w:rsidRPr="00781F4C" w:rsidRDefault="007D506E" w:rsidP="00CF6621">
            <w:pPr>
              <w:keepNext/>
              <w:spacing w:line="259" w:lineRule="auto"/>
              <w:jc w:val="center"/>
              <w:rPr>
                <w:rFonts w:asciiTheme="majorBidi" w:eastAsiaTheme="minorHAnsi" w:hAnsiTheme="majorBidi" w:cstheme="majorBidi"/>
                <w:sz w:val="16"/>
                <w:szCs w:val="16"/>
                <w:vertAlign w:val="superscript"/>
                <w:lang w:val="en-US" w:eastAsia="en-US"/>
              </w:rPr>
            </w:pPr>
            <w:r w:rsidRPr="00781F4C">
              <w:rPr>
                <w:rFonts w:asciiTheme="majorBidi" w:eastAsiaTheme="minorHAnsi" w:hAnsiTheme="majorBidi" w:cstheme="majorBidi"/>
                <w:sz w:val="16"/>
                <w:szCs w:val="16"/>
                <w:vertAlign w:val="superscript"/>
                <w:lang w:val="en-US" w:eastAsia="en-US"/>
              </w:rPr>
              <w:t>***</w:t>
            </w:r>
          </w:p>
        </w:tc>
        <w:tc>
          <w:tcPr>
            <w:tcW w:w="536" w:type="pct"/>
            <w:tcBorders>
              <w:left w:val="dashSmallGap" w:sz="12" w:space="0" w:color="auto"/>
            </w:tcBorders>
            <w:vAlign w:val="center"/>
          </w:tcPr>
          <w:p w14:paraId="485F65FD" w14:textId="2051E97A" w:rsidR="007D506E" w:rsidRPr="00781F4C" w:rsidRDefault="009F3B94" w:rsidP="00CF6621">
            <w:pPr>
              <w:keepNext/>
              <w:spacing w:line="259" w:lineRule="auto"/>
              <w:jc w:val="center"/>
              <w:rPr>
                <w:rFonts w:asciiTheme="majorBidi" w:eastAsiaTheme="minorHAnsi" w:hAnsiTheme="majorBidi" w:cstheme="majorBidi"/>
                <w:sz w:val="16"/>
                <w:szCs w:val="16"/>
                <w:lang w:val="en-US" w:eastAsia="en-US"/>
              </w:rPr>
            </w:pPr>
            <w:r w:rsidRPr="00781F4C">
              <w:rPr>
                <w:rFonts w:asciiTheme="majorBidi" w:eastAsiaTheme="minorHAnsi" w:hAnsiTheme="majorBidi" w:cstheme="majorBidi"/>
                <w:sz w:val="16"/>
                <w:szCs w:val="16"/>
                <w:lang w:val="en-US" w:eastAsia="en-US"/>
              </w:rPr>
              <w:t>-0.8816</w:t>
            </w:r>
          </w:p>
        </w:tc>
        <w:tc>
          <w:tcPr>
            <w:tcW w:w="266" w:type="pct"/>
            <w:tcMar>
              <w:left w:w="0" w:type="dxa"/>
            </w:tcMar>
            <w:vAlign w:val="center"/>
          </w:tcPr>
          <w:p w14:paraId="0ED86A30" w14:textId="77777777" w:rsidR="007D506E" w:rsidRPr="00781F4C" w:rsidRDefault="007D506E" w:rsidP="00CF6621">
            <w:pPr>
              <w:keepNext/>
              <w:spacing w:line="259" w:lineRule="auto"/>
              <w:jc w:val="center"/>
              <w:rPr>
                <w:rFonts w:asciiTheme="majorBidi" w:eastAsiaTheme="minorHAnsi" w:hAnsiTheme="majorBidi" w:cstheme="majorBidi"/>
                <w:sz w:val="16"/>
                <w:szCs w:val="16"/>
                <w:vertAlign w:val="superscript"/>
                <w:lang w:val="en-US" w:eastAsia="en-US"/>
              </w:rPr>
            </w:pPr>
            <w:r w:rsidRPr="00781F4C">
              <w:rPr>
                <w:rFonts w:asciiTheme="majorBidi" w:eastAsiaTheme="minorHAnsi" w:hAnsiTheme="majorBidi" w:cstheme="majorBidi"/>
                <w:sz w:val="16"/>
                <w:szCs w:val="16"/>
                <w:vertAlign w:val="superscript"/>
                <w:lang w:val="en-US" w:eastAsia="en-US"/>
              </w:rPr>
              <w:t>***</w:t>
            </w:r>
          </w:p>
        </w:tc>
      </w:tr>
      <w:tr w:rsidR="00207B69" w:rsidRPr="00781F4C" w14:paraId="0077D3F1" w14:textId="77777777" w:rsidTr="00207B69">
        <w:trPr>
          <w:trHeight w:val="88"/>
          <w:jc w:val="center"/>
        </w:trPr>
        <w:tc>
          <w:tcPr>
            <w:tcW w:w="741" w:type="pct"/>
            <w:tcBorders>
              <w:right w:val="dashSmallGap" w:sz="12" w:space="0" w:color="auto"/>
            </w:tcBorders>
            <w:vAlign w:val="center"/>
          </w:tcPr>
          <w:p w14:paraId="6A71A50A" w14:textId="111D1518" w:rsidR="00207B69" w:rsidRPr="00781F4C" w:rsidRDefault="00207B69" w:rsidP="00A234A9">
            <w:pPr>
              <w:keepNext/>
              <w:rPr>
                <w:rFonts w:asciiTheme="majorBidi" w:hAnsiTheme="majorBidi" w:cstheme="majorBidi"/>
                <w:sz w:val="16"/>
                <w:szCs w:val="16"/>
                <w:lang w:val="en-US" w:bidi="fa-IR"/>
              </w:rPr>
            </w:pPr>
            <w:r w:rsidRPr="00781F4C">
              <w:rPr>
                <w:rFonts w:asciiTheme="majorBidi" w:hAnsiTheme="majorBidi" w:cstheme="majorBidi"/>
                <w:sz w:val="16"/>
                <w:szCs w:val="16"/>
                <w:lang w:val="en-US" w:bidi="fa-IR"/>
              </w:rPr>
              <w:t>LGDP</w:t>
            </w:r>
          </w:p>
        </w:tc>
        <w:tc>
          <w:tcPr>
            <w:tcW w:w="639" w:type="pct"/>
            <w:tcBorders>
              <w:left w:val="dashSmallGap" w:sz="12" w:space="0" w:color="auto"/>
            </w:tcBorders>
            <w:vAlign w:val="center"/>
          </w:tcPr>
          <w:p w14:paraId="24D556C3" w14:textId="60684165" w:rsidR="00207B69" w:rsidRPr="00781F4C" w:rsidRDefault="00207B69" w:rsidP="00CF6621">
            <w:pPr>
              <w:keepNext/>
              <w:spacing w:line="259" w:lineRule="auto"/>
              <w:jc w:val="center"/>
              <w:rPr>
                <w:rFonts w:asciiTheme="majorBidi" w:eastAsiaTheme="minorHAnsi" w:hAnsiTheme="majorBidi" w:cstheme="majorBidi"/>
                <w:sz w:val="16"/>
                <w:szCs w:val="16"/>
                <w:lang w:val="en-US" w:eastAsia="en-US"/>
              </w:rPr>
            </w:pPr>
            <w:r w:rsidRPr="00781F4C">
              <w:rPr>
                <w:rFonts w:asciiTheme="majorBidi" w:eastAsiaTheme="minorHAnsi" w:hAnsiTheme="majorBidi" w:cstheme="majorBidi"/>
                <w:sz w:val="16"/>
                <w:szCs w:val="16"/>
                <w:lang w:val="en-US" w:eastAsia="en-US"/>
              </w:rPr>
              <w:t>0.0820</w:t>
            </w:r>
          </w:p>
        </w:tc>
        <w:tc>
          <w:tcPr>
            <w:tcW w:w="157" w:type="pct"/>
            <w:tcMar>
              <w:left w:w="0" w:type="dxa"/>
            </w:tcMar>
            <w:vAlign w:val="center"/>
          </w:tcPr>
          <w:p w14:paraId="276E406C" w14:textId="70B76AD9" w:rsidR="00207B69" w:rsidRPr="00781F4C" w:rsidRDefault="00207B69" w:rsidP="00CF6621">
            <w:pPr>
              <w:keepNext/>
              <w:spacing w:line="259" w:lineRule="auto"/>
              <w:jc w:val="center"/>
              <w:rPr>
                <w:rFonts w:asciiTheme="majorBidi" w:eastAsiaTheme="minorHAnsi" w:hAnsiTheme="majorBidi" w:cstheme="majorBidi"/>
                <w:sz w:val="16"/>
                <w:szCs w:val="16"/>
                <w:vertAlign w:val="superscript"/>
                <w:lang w:val="en-US" w:eastAsia="en-US"/>
              </w:rPr>
            </w:pPr>
            <w:r w:rsidRPr="00781F4C">
              <w:rPr>
                <w:rFonts w:asciiTheme="majorBidi" w:eastAsiaTheme="minorHAnsi" w:hAnsiTheme="majorBidi" w:cstheme="majorBidi"/>
                <w:sz w:val="16"/>
                <w:szCs w:val="16"/>
                <w:vertAlign w:val="superscript"/>
                <w:lang w:val="en-US" w:eastAsia="en-US"/>
              </w:rPr>
              <w:t>**</w:t>
            </w:r>
          </w:p>
        </w:tc>
        <w:tc>
          <w:tcPr>
            <w:tcW w:w="486" w:type="pct"/>
          </w:tcPr>
          <w:p w14:paraId="4BAA30F2" w14:textId="6CC8B4C0" w:rsidR="00207B69" w:rsidRPr="00781F4C" w:rsidRDefault="00207B69" w:rsidP="00CF6621">
            <w:pPr>
              <w:keepNext/>
              <w:spacing w:line="259" w:lineRule="auto"/>
              <w:jc w:val="center"/>
              <w:rPr>
                <w:rFonts w:asciiTheme="majorBidi" w:eastAsiaTheme="minorHAnsi" w:hAnsiTheme="majorBidi" w:cstheme="majorBidi"/>
                <w:sz w:val="16"/>
                <w:szCs w:val="16"/>
                <w:lang w:val="en-US" w:eastAsia="en-US"/>
              </w:rPr>
            </w:pPr>
            <w:r w:rsidRPr="00781F4C">
              <w:rPr>
                <w:rFonts w:asciiTheme="majorBidi" w:eastAsiaTheme="minorHAnsi" w:hAnsiTheme="majorBidi" w:cstheme="majorBidi"/>
                <w:sz w:val="16"/>
                <w:szCs w:val="16"/>
                <w:lang w:val="en-US" w:eastAsia="en-US"/>
              </w:rPr>
              <w:t>0.0519</w:t>
            </w:r>
          </w:p>
        </w:tc>
        <w:tc>
          <w:tcPr>
            <w:tcW w:w="157" w:type="pct"/>
            <w:gridSpan w:val="2"/>
            <w:tcMar>
              <w:left w:w="0" w:type="dxa"/>
            </w:tcMar>
          </w:tcPr>
          <w:p w14:paraId="5B249937" w14:textId="5B5A5C72" w:rsidR="00207B69" w:rsidRPr="00781F4C" w:rsidRDefault="00207B69" w:rsidP="00CF6621">
            <w:pPr>
              <w:keepNext/>
              <w:spacing w:line="259" w:lineRule="auto"/>
              <w:jc w:val="center"/>
              <w:rPr>
                <w:rFonts w:asciiTheme="majorBidi" w:eastAsiaTheme="minorHAnsi" w:hAnsiTheme="majorBidi" w:cstheme="majorBidi"/>
                <w:sz w:val="16"/>
                <w:szCs w:val="16"/>
                <w:vertAlign w:val="superscript"/>
                <w:lang w:val="en-US" w:eastAsia="en-US"/>
              </w:rPr>
            </w:pPr>
            <w:r w:rsidRPr="00781F4C">
              <w:rPr>
                <w:rFonts w:asciiTheme="majorBidi" w:eastAsiaTheme="minorHAnsi" w:hAnsiTheme="majorBidi" w:cstheme="majorBidi"/>
                <w:sz w:val="16"/>
                <w:szCs w:val="16"/>
                <w:vertAlign w:val="superscript"/>
                <w:lang w:val="en-US" w:eastAsia="en-US"/>
              </w:rPr>
              <w:t>**</w:t>
            </w:r>
          </w:p>
        </w:tc>
        <w:tc>
          <w:tcPr>
            <w:tcW w:w="492" w:type="pct"/>
            <w:vAlign w:val="center"/>
          </w:tcPr>
          <w:p w14:paraId="2616C300" w14:textId="711A6CE1" w:rsidR="00207B69" w:rsidRPr="00781F4C" w:rsidRDefault="00207B69" w:rsidP="00CF6621">
            <w:pPr>
              <w:keepNext/>
              <w:spacing w:line="259" w:lineRule="auto"/>
              <w:jc w:val="center"/>
              <w:rPr>
                <w:rFonts w:asciiTheme="majorBidi" w:eastAsiaTheme="minorHAnsi" w:hAnsiTheme="majorBidi" w:cstheme="majorBidi"/>
                <w:sz w:val="16"/>
                <w:szCs w:val="16"/>
                <w:lang w:val="en-US" w:eastAsia="en-US"/>
              </w:rPr>
            </w:pPr>
            <w:r w:rsidRPr="00781F4C">
              <w:rPr>
                <w:rFonts w:asciiTheme="majorBidi" w:eastAsiaTheme="minorHAnsi" w:hAnsiTheme="majorBidi" w:cstheme="majorBidi"/>
                <w:sz w:val="16"/>
                <w:szCs w:val="16"/>
                <w:lang w:val="en-US" w:eastAsia="en-US"/>
              </w:rPr>
              <w:t>0.0204</w:t>
            </w:r>
          </w:p>
        </w:tc>
        <w:tc>
          <w:tcPr>
            <w:tcW w:w="157" w:type="pct"/>
            <w:tcMar>
              <w:left w:w="0" w:type="dxa"/>
            </w:tcMar>
            <w:vAlign w:val="center"/>
          </w:tcPr>
          <w:p w14:paraId="52439FAE" w14:textId="1153C4DC" w:rsidR="00207B69" w:rsidRPr="00781F4C" w:rsidRDefault="00207B69" w:rsidP="00CF6621">
            <w:pPr>
              <w:keepNext/>
              <w:spacing w:line="259" w:lineRule="auto"/>
              <w:jc w:val="center"/>
              <w:rPr>
                <w:rFonts w:asciiTheme="majorBidi" w:eastAsiaTheme="minorHAnsi" w:hAnsiTheme="majorBidi" w:cstheme="majorBidi"/>
                <w:sz w:val="16"/>
                <w:szCs w:val="16"/>
                <w:vertAlign w:val="superscript"/>
                <w:lang w:val="en-US" w:eastAsia="en-US"/>
              </w:rPr>
            </w:pPr>
            <w:r w:rsidRPr="00781F4C">
              <w:rPr>
                <w:rFonts w:asciiTheme="majorBidi" w:eastAsiaTheme="minorHAnsi" w:hAnsiTheme="majorBidi" w:cstheme="majorBidi"/>
                <w:sz w:val="16"/>
                <w:szCs w:val="16"/>
                <w:vertAlign w:val="superscript"/>
                <w:lang w:val="en-US" w:eastAsia="en-US"/>
              </w:rPr>
              <w:t>*</w:t>
            </w:r>
          </w:p>
        </w:tc>
        <w:tc>
          <w:tcPr>
            <w:tcW w:w="507" w:type="pct"/>
            <w:vAlign w:val="center"/>
          </w:tcPr>
          <w:p w14:paraId="0751B766" w14:textId="19655E42" w:rsidR="00207B69" w:rsidRPr="00781F4C" w:rsidRDefault="00C936AE" w:rsidP="00CF6621">
            <w:pPr>
              <w:keepNext/>
              <w:spacing w:line="259" w:lineRule="auto"/>
              <w:jc w:val="center"/>
              <w:rPr>
                <w:rFonts w:asciiTheme="majorBidi" w:eastAsiaTheme="minorHAnsi" w:hAnsiTheme="majorBidi" w:cstheme="majorBidi"/>
                <w:sz w:val="16"/>
                <w:szCs w:val="16"/>
                <w:lang w:val="en-US" w:eastAsia="en-US"/>
              </w:rPr>
            </w:pPr>
            <w:r w:rsidRPr="00781F4C">
              <w:rPr>
                <w:rFonts w:asciiTheme="majorBidi" w:eastAsiaTheme="minorHAnsi" w:hAnsiTheme="majorBidi" w:cstheme="majorBidi"/>
                <w:sz w:val="16"/>
                <w:szCs w:val="16"/>
                <w:lang w:val="en-US" w:eastAsia="en-US"/>
              </w:rPr>
              <w:t>0.0440</w:t>
            </w:r>
          </w:p>
        </w:tc>
        <w:tc>
          <w:tcPr>
            <w:tcW w:w="172" w:type="pct"/>
            <w:tcMar>
              <w:left w:w="0" w:type="dxa"/>
            </w:tcMar>
            <w:vAlign w:val="center"/>
          </w:tcPr>
          <w:p w14:paraId="64F567B8" w14:textId="77777777" w:rsidR="00207B69" w:rsidRPr="00781F4C" w:rsidRDefault="00207B69" w:rsidP="00CF6621">
            <w:pPr>
              <w:keepNext/>
              <w:spacing w:line="259" w:lineRule="auto"/>
              <w:jc w:val="center"/>
              <w:rPr>
                <w:rFonts w:asciiTheme="majorBidi" w:eastAsiaTheme="minorHAnsi" w:hAnsiTheme="majorBidi" w:cstheme="majorBidi"/>
                <w:sz w:val="16"/>
                <w:szCs w:val="16"/>
                <w:lang w:val="en-US" w:eastAsia="en-US"/>
              </w:rPr>
            </w:pPr>
            <w:r w:rsidRPr="00781F4C">
              <w:rPr>
                <w:rFonts w:asciiTheme="majorBidi" w:eastAsiaTheme="minorHAnsi" w:hAnsiTheme="majorBidi" w:cstheme="majorBidi"/>
                <w:sz w:val="16"/>
                <w:szCs w:val="16"/>
                <w:vertAlign w:val="superscript"/>
                <w:lang w:val="en-US" w:eastAsia="en-US"/>
              </w:rPr>
              <w:t>**</w:t>
            </w:r>
          </w:p>
        </w:tc>
        <w:tc>
          <w:tcPr>
            <w:tcW w:w="535" w:type="pct"/>
            <w:vAlign w:val="center"/>
          </w:tcPr>
          <w:p w14:paraId="3598E95E" w14:textId="31D5D7D9" w:rsidR="00207B69" w:rsidRPr="00781F4C" w:rsidRDefault="00E4196C" w:rsidP="00CF6621">
            <w:pPr>
              <w:keepNext/>
              <w:spacing w:line="259" w:lineRule="auto"/>
              <w:jc w:val="center"/>
              <w:rPr>
                <w:rFonts w:asciiTheme="majorBidi" w:eastAsiaTheme="minorHAnsi" w:hAnsiTheme="majorBidi" w:cstheme="majorBidi"/>
                <w:sz w:val="16"/>
                <w:szCs w:val="16"/>
                <w:lang w:val="en-US" w:eastAsia="en-US"/>
              </w:rPr>
            </w:pPr>
            <w:r w:rsidRPr="00781F4C">
              <w:rPr>
                <w:rFonts w:asciiTheme="majorBidi" w:eastAsiaTheme="minorHAnsi" w:hAnsiTheme="majorBidi" w:cstheme="majorBidi"/>
                <w:sz w:val="16"/>
                <w:szCs w:val="16"/>
                <w:lang w:val="en-US" w:eastAsia="en-US"/>
              </w:rPr>
              <w:t>0.4165</w:t>
            </w:r>
          </w:p>
        </w:tc>
        <w:tc>
          <w:tcPr>
            <w:tcW w:w="156" w:type="pct"/>
            <w:tcBorders>
              <w:right w:val="dashSmallGap" w:sz="12" w:space="0" w:color="auto"/>
            </w:tcBorders>
            <w:tcMar>
              <w:left w:w="0" w:type="dxa"/>
              <w:right w:w="0" w:type="dxa"/>
            </w:tcMar>
            <w:vAlign w:val="center"/>
          </w:tcPr>
          <w:p w14:paraId="463D87BA" w14:textId="547C8232" w:rsidR="00207B69" w:rsidRPr="00781F4C" w:rsidRDefault="00207B69" w:rsidP="00CF6621">
            <w:pPr>
              <w:keepNext/>
              <w:spacing w:line="259" w:lineRule="auto"/>
              <w:jc w:val="center"/>
              <w:rPr>
                <w:rFonts w:asciiTheme="majorBidi" w:eastAsiaTheme="minorHAnsi" w:hAnsiTheme="majorBidi" w:cstheme="majorBidi"/>
                <w:sz w:val="16"/>
                <w:szCs w:val="16"/>
                <w:lang w:val="en-US" w:eastAsia="en-US"/>
              </w:rPr>
            </w:pPr>
            <w:r w:rsidRPr="00781F4C">
              <w:rPr>
                <w:rFonts w:asciiTheme="majorBidi" w:eastAsiaTheme="minorHAnsi" w:hAnsiTheme="majorBidi" w:cstheme="majorBidi"/>
                <w:sz w:val="16"/>
                <w:szCs w:val="16"/>
                <w:vertAlign w:val="superscript"/>
                <w:lang w:val="en-US" w:eastAsia="en-US"/>
              </w:rPr>
              <w:t>**</w:t>
            </w:r>
            <w:r w:rsidR="00E4196C" w:rsidRPr="00781F4C">
              <w:rPr>
                <w:rFonts w:asciiTheme="majorBidi" w:eastAsiaTheme="minorHAnsi" w:hAnsiTheme="majorBidi" w:cstheme="majorBidi"/>
                <w:sz w:val="16"/>
                <w:szCs w:val="16"/>
                <w:vertAlign w:val="superscript"/>
                <w:lang w:val="en-US" w:eastAsia="en-US"/>
              </w:rPr>
              <w:t>*</w:t>
            </w:r>
          </w:p>
        </w:tc>
        <w:tc>
          <w:tcPr>
            <w:tcW w:w="536" w:type="pct"/>
            <w:tcBorders>
              <w:left w:val="dashSmallGap" w:sz="12" w:space="0" w:color="auto"/>
            </w:tcBorders>
            <w:vAlign w:val="center"/>
          </w:tcPr>
          <w:p w14:paraId="4E4119DF" w14:textId="4BADA398" w:rsidR="00207B69" w:rsidRPr="00781F4C" w:rsidRDefault="009F3B94" w:rsidP="00CF6621">
            <w:pPr>
              <w:keepNext/>
              <w:spacing w:line="259" w:lineRule="auto"/>
              <w:jc w:val="center"/>
              <w:rPr>
                <w:rFonts w:asciiTheme="majorBidi" w:eastAsiaTheme="minorHAnsi" w:hAnsiTheme="majorBidi" w:cstheme="majorBidi"/>
                <w:sz w:val="16"/>
                <w:szCs w:val="16"/>
                <w:lang w:val="en-US" w:eastAsia="en-US"/>
              </w:rPr>
            </w:pPr>
            <w:r w:rsidRPr="00781F4C">
              <w:rPr>
                <w:rFonts w:asciiTheme="majorBidi" w:eastAsiaTheme="minorHAnsi" w:hAnsiTheme="majorBidi" w:cstheme="majorBidi"/>
                <w:sz w:val="16"/>
                <w:szCs w:val="16"/>
                <w:lang w:val="en-US" w:eastAsia="en-US"/>
              </w:rPr>
              <w:t>-0.0136</w:t>
            </w:r>
          </w:p>
        </w:tc>
        <w:tc>
          <w:tcPr>
            <w:tcW w:w="266" w:type="pct"/>
            <w:tcMar>
              <w:left w:w="0" w:type="dxa"/>
            </w:tcMar>
            <w:vAlign w:val="center"/>
          </w:tcPr>
          <w:p w14:paraId="328A58A7" w14:textId="77777777" w:rsidR="00207B69" w:rsidRPr="00781F4C" w:rsidRDefault="00207B69" w:rsidP="00CF6621">
            <w:pPr>
              <w:keepNext/>
              <w:spacing w:line="259" w:lineRule="auto"/>
              <w:jc w:val="center"/>
              <w:rPr>
                <w:rFonts w:asciiTheme="majorBidi" w:eastAsiaTheme="minorHAnsi" w:hAnsiTheme="majorBidi" w:cstheme="majorBidi"/>
                <w:sz w:val="16"/>
                <w:szCs w:val="16"/>
                <w:vertAlign w:val="superscript"/>
                <w:lang w:val="en-US" w:eastAsia="en-US"/>
              </w:rPr>
            </w:pPr>
            <w:r w:rsidRPr="00781F4C">
              <w:rPr>
                <w:rFonts w:asciiTheme="majorBidi" w:eastAsiaTheme="minorHAnsi" w:hAnsiTheme="majorBidi" w:cstheme="majorBidi"/>
                <w:sz w:val="16"/>
                <w:szCs w:val="16"/>
                <w:vertAlign w:val="superscript"/>
                <w:lang w:val="en-US" w:eastAsia="en-US"/>
              </w:rPr>
              <w:t>***</w:t>
            </w:r>
          </w:p>
        </w:tc>
      </w:tr>
      <w:tr w:rsidR="00207B69" w:rsidRPr="00781F4C" w14:paraId="3778B8EC" w14:textId="77777777" w:rsidTr="00207B69">
        <w:trPr>
          <w:trHeight w:val="108"/>
          <w:jc w:val="center"/>
        </w:trPr>
        <w:tc>
          <w:tcPr>
            <w:tcW w:w="741" w:type="pct"/>
            <w:tcBorders>
              <w:right w:val="dashSmallGap" w:sz="12" w:space="0" w:color="auto"/>
            </w:tcBorders>
            <w:vAlign w:val="center"/>
          </w:tcPr>
          <w:p w14:paraId="39DF4EF9" w14:textId="3C0AAC2A" w:rsidR="007D506E" w:rsidRPr="00781F4C" w:rsidRDefault="00AA04D8" w:rsidP="00A234A9">
            <w:pPr>
              <w:keepNext/>
              <w:rPr>
                <w:rFonts w:asciiTheme="majorBidi" w:hAnsiTheme="majorBidi" w:cstheme="majorBidi"/>
                <w:sz w:val="16"/>
                <w:szCs w:val="16"/>
                <w:lang w:val="en-US"/>
              </w:rPr>
            </w:pPr>
            <w:r w:rsidRPr="00781F4C">
              <w:rPr>
                <w:rFonts w:asciiTheme="majorBidi" w:hAnsiTheme="majorBidi" w:cstheme="majorBidi"/>
                <w:sz w:val="16"/>
                <w:szCs w:val="16"/>
                <w:lang w:val="en-US"/>
              </w:rPr>
              <w:t>LF</w:t>
            </w:r>
            <w:r w:rsidR="00C12481" w:rsidRPr="00781F4C">
              <w:rPr>
                <w:rFonts w:asciiTheme="majorBidi" w:hAnsiTheme="majorBidi" w:cstheme="majorBidi"/>
                <w:sz w:val="16"/>
                <w:szCs w:val="16"/>
                <w:lang w:val="en-US"/>
              </w:rPr>
              <w:t>R</w:t>
            </w:r>
          </w:p>
        </w:tc>
        <w:tc>
          <w:tcPr>
            <w:tcW w:w="639" w:type="pct"/>
            <w:tcBorders>
              <w:left w:val="dashSmallGap" w:sz="12" w:space="0" w:color="auto"/>
            </w:tcBorders>
            <w:vAlign w:val="center"/>
          </w:tcPr>
          <w:p w14:paraId="46E5889D" w14:textId="34765B14" w:rsidR="007D506E" w:rsidRPr="00781F4C" w:rsidRDefault="00AA04D8" w:rsidP="00CF6621">
            <w:pPr>
              <w:keepNext/>
              <w:spacing w:line="259" w:lineRule="auto"/>
              <w:jc w:val="center"/>
              <w:rPr>
                <w:rFonts w:asciiTheme="majorBidi" w:eastAsiaTheme="minorHAnsi" w:hAnsiTheme="majorBidi" w:cstheme="majorBidi"/>
                <w:sz w:val="16"/>
                <w:szCs w:val="16"/>
                <w:lang w:val="en-US" w:eastAsia="en-US"/>
              </w:rPr>
            </w:pPr>
            <w:r w:rsidRPr="00781F4C">
              <w:rPr>
                <w:rFonts w:asciiTheme="majorBidi" w:eastAsiaTheme="minorHAnsi" w:hAnsiTheme="majorBidi" w:cstheme="majorBidi"/>
                <w:sz w:val="16"/>
                <w:szCs w:val="16"/>
                <w:lang w:val="en-US" w:eastAsia="en-US"/>
              </w:rPr>
              <w:t>-2.2740</w:t>
            </w:r>
          </w:p>
        </w:tc>
        <w:tc>
          <w:tcPr>
            <w:tcW w:w="157" w:type="pct"/>
            <w:tcMar>
              <w:left w:w="0" w:type="dxa"/>
            </w:tcMar>
            <w:vAlign w:val="center"/>
          </w:tcPr>
          <w:p w14:paraId="6EB6C6EC" w14:textId="79EA5C8D" w:rsidR="007D506E" w:rsidRPr="00781F4C" w:rsidRDefault="007D506E" w:rsidP="00CF6621">
            <w:pPr>
              <w:keepNext/>
              <w:spacing w:line="259" w:lineRule="auto"/>
              <w:jc w:val="center"/>
              <w:rPr>
                <w:rFonts w:asciiTheme="majorBidi" w:eastAsiaTheme="minorHAnsi" w:hAnsiTheme="majorBidi" w:cstheme="majorBidi"/>
                <w:sz w:val="16"/>
                <w:szCs w:val="16"/>
                <w:vertAlign w:val="superscript"/>
                <w:lang w:val="en-US" w:eastAsia="en-US"/>
              </w:rPr>
            </w:pPr>
            <w:r w:rsidRPr="00781F4C">
              <w:rPr>
                <w:rFonts w:asciiTheme="majorBidi" w:eastAsiaTheme="minorHAnsi" w:hAnsiTheme="majorBidi" w:cstheme="majorBidi"/>
                <w:sz w:val="16"/>
                <w:szCs w:val="16"/>
                <w:vertAlign w:val="superscript"/>
                <w:lang w:val="en-US" w:eastAsia="en-US"/>
              </w:rPr>
              <w:t>*</w:t>
            </w:r>
            <w:r w:rsidR="00AA04D8" w:rsidRPr="00781F4C">
              <w:rPr>
                <w:rFonts w:asciiTheme="majorBidi" w:eastAsiaTheme="minorHAnsi" w:hAnsiTheme="majorBidi" w:cstheme="majorBidi"/>
                <w:sz w:val="16"/>
                <w:szCs w:val="16"/>
                <w:vertAlign w:val="superscript"/>
                <w:lang w:val="en-US" w:eastAsia="en-US"/>
              </w:rPr>
              <w:t>**</w:t>
            </w:r>
          </w:p>
        </w:tc>
        <w:tc>
          <w:tcPr>
            <w:tcW w:w="486" w:type="pct"/>
            <w:vAlign w:val="center"/>
          </w:tcPr>
          <w:p w14:paraId="74FA4E68" w14:textId="7597A418" w:rsidR="007D506E" w:rsidRPr="00781F4C" w:rsidRDefault="00207B69" w:rsidP="00CF6621">
            <w:pPr>
              <w:keepNext/>
              <w:spacing w:line="259" w:lineRule="auto"/>
              <w:jc w:val="center"/>
              <w:rPr>
                <w:rFonts w:asciiTheme="majorBidi" w:eastAsiaTheme="minorHAnsi" w:hAnsiTheme="majorBidi" w:cstheme="majorBidi"/>
                <w:sz w:val="16"/>
                <w:szCs w:val="16"/>
                <w:lang w:val="en-US" w:eastAsia="en-US"/>
              </w:rPr>
            </w:pPr>
            <w:r w:rsidRPr="00781F4C">
              <w:rPr>
                <w:rFonts w:asciiTheme="majorBidi" w:eastAsiaTheme="minorHAnsi" w:hAnsiTheme="majorBidi" w:cstheme="majorBidi"/>
                <w:sz w:val="16"/>
                <w:szCs w:val="16"/>
                <w:lang w:val="en-US" w:eastAsia="en-US"/>
              </w:rPr>
              <w:t>-1.9064</w:t>
            </w:r>
          </w:p>
        </w:tc>
        <w:tc>
          <w:tcPr>
            <w:tcW w:w="157" w:type="pct"/>
            <w:gridSpan w:val="2"/>
            <w:tcMar>
              <w:left w:w="0" w:type="dxa"/>
            </w:tcMar>
            <w:vAlign w:val="center"/>
          </w:tcPr>
          <w:p w14:paraId="419EE398" w14:textId="77777777" w:rsidR="007D506E" w:rsidRPr="00781F4C" w:rsidRDefault="007D506E" w:rsidP="00CF6621">
            <w:pPr>
              <w:keepNext/>
              <w:spacing w:line="259" w:lineRule="auto"/>
              <w:jc w:val="center"/>
              <w:rPr>
                <w:rFonts w:asciiTheme="majorBidi" w:eastAsiaTheme="minorHAnsi" w:hAnsiTheme="majorBidi" w:cstheme="majorBidi"/>
                <w:sz w:val="16"/>
                <w:szCs w:val="16"/>
                <w:vertAlign w:val="superscript"/>
                <w:lang w:val="en-US" w:eastAsia="en-US"/>
              </w:rPr>
            </w:pPr>
            <w:r w:rsidRPr="00781F4C">
              <w:rPr>
                <w:rFonts w:asciiTheme="majorBidi" w:eastAsiaTheme="minorHAnsi" w:hAnsiTheme="majorBidi" w:cstheme="majorBidi"/>
                <w:sz w:val="16"/>
                <w:szCs w:val="16"/>
                <w:vertAlign w:val="superscript"/>
                <w:lang w:val="en-US" w:eastAsia="en-US"/>
              </w:rPr>
              <w:t>***</w:t>
            </w:r>
          </w:p>
        </w:tc>
        <w:tc>
          <w:tcPr>
            <w:tcW w:w="492" w:type="pct"/>
            <w:vAlign w:val="center"/>
          </w:tcPr>
          <w:p w14:paraId="078E02C8" w14:textId="1C329C8F" w:rsidR="007D506E" w:rsidRPr="00781F4C" w:rsidRDefault="00207B69" w:rsidP="00CF6621">
            <w:pPr>
              <w:keepNext/>
              <w:spacing w:line="259" w:lineRule="auto"/>
              <w:jc w:val="center"/>
              <w:rPr>
                <w:rFonts w:asciiTheme="majorBidi" w:eastAsiaTheme="minorHAnsi" w:hAnsiTheme="majorBidi" w:cstheme="majorBidi"/>
                <w:sz w:val="16"/>
                <w:szCs w:val="16"/>
                <w:lang w:val="en-US" w:eastAsia="en-US"/>
              </w:rPr>
            </w:pPr>
            <w:r w:rsidRPr="00781F4C">
              <w:rPr>
                <w:rFonts w:asciiTheme="majorBidi" w:eastAsiaTheme="minorHAnsi" w:hAnsiTheme="majorBidi" w:cstheme="majorBidi"/>
                <w:sz w:val="16"/>
                <w:szCs w:val="16"/>
                <w:lang w:val="en-US" w:eastAsia="en-US"/>
              </w:rPr>
              <w:t>-1.5617</w:t>
            </w:r>
          </w:p>
        </w:tc>
        <w:tc>
          <w:tcPr>
            <w:tcW w:w="157" w:type="pct"/>
            <w:tcMar>
              <w:left w:w="0" w:type="dxa"/>
            </w:tcMar>
            <w:vAlign w:val="center"/>
          </w:tcPr>
          <w:p w14:paraId="6E0D6DD9" w14:textId="77777777" w:rsidR="007D506E" w:rsidRPr="00781F4C" w:rsidRDefault="007D506E" w:rsidP="00CF6621">
            <w:pPr>
              <w:keepNext/>
              <w:spacing w:line="259" w:lineRule="auto"/>
              <w:jc w:val="center"/>
              <w:rPr>
                <w:rFonts w:asciiTheme="majorBidi" w:eastAsiaTheme="minorHAnsi" w:hAnsiTheme="majorBidi" w:cstheme="majorBidi"/>
                <w:sz w:val="16"/>
                <w:szCs w:val="16"/>
                <w:vertAlign w:val="superscript"/>
                <w:lang w:val="en-US" w:eastAsia="en-US"/>
              </w:rPr>
            </w:pPr>
            <w:r w:rsidRPr="00781F4C">
              <w:rPr>
                <w:rFonts w:asciiTheme="majorBidi" w:eastAsiaTheme="minorHAnsi" w:hAnsiTheme="majorBidi" w:cstheme="majorBidi"/>
                <w:sz w:val="16"/>
                <w:szCs w:val="16"/>
                <w:vertAlign w:val="superscript"/>
                <w:lang w:val="en-US" w:eastAsia="en-US"/>
              </w:rPr>
              <w:t>***</w:t>
            </w:r>
          </w:p>
        </w:tc>
        <w:tc>
          <w:tcPr>
            <w:tcW w:w="507" w:type="pct"/>
            <w:vAlign w:val="center"/>
          </w:tcPr>
          <w:p w14:paraId="143C0AB5" w14:textId="28558E57" w:rsidR="007D506E" w:rsidRPr="00781F4C" w:rsidRDefault="00E4196C" w:rsidP="00CF6621">
            <w:pPr>
              <w:keepNext/>
              <w:spacing w:line="259" w:lineRule="auto"/>
              <w:jc w:val="center"/>
              <w:rPr>
                <w:rFonts w:asciiTheme="majorBidi" w:eastAsiaTheme="minorHAnsi" w:hAnsiTheme="majorBidi" w:cstheme="majorBidi"/>
                <w:sz w:val="16"/>
                <w:szCs w:val="16"/>
                <w:lang w:val="en-US" w:eastAsia="en-US"/>
              </w:rPr>
            </w:pPr>
            <w:r w:rsidRPr="00781F4C">
              <w:rPr>
                <w:rFonts w:asciiTheme="majorBidi" w:eastAsiaTheme="minorHAnsi" w:hAnsiTheme="majorBidi" w:cstheme="majorBidi"/>
                <w:sz w:val="16"/>
                <w:szCs w:val="16"/>
                <w:lang w:val="en-US" w:eastAsia="en-US"/>
              </w:rPr>
              <w:t>-1.6816</w:t>
            </w:r>
          </w:p>
        </w:tc>
        <w:tc>
          <w:tcPr>
            <w:tcW w:w="172" w:type="pct"/>
            <w:tcMar>
              <w:left w:w="0" w:type="dxa"/>
            </w:tcMar>
            <w:vAlign w:val="center"/>
          </w:tcPr>
          <w:p w14:paraId="5E737261" w14:textId="77777777" w:rsidR="007D506E" w:rsidRPr="00781F4C" w:rsidRDefault="007D506E" w:rsidP="00CF6621">
            <w:pPr>
              <w:keepNext/>
              <w:spacing w:line="259" w:lineRule="auto"/>
              <w:jc w:val="center"/>
              <w:rPr>
                <w:rFonts w:asciiTheme="majorBidi" w:eastAsiaTheme="minorHAnsi" w:hAnsiTheme="majorBidi" w:cstheme="majorBidi"/>
                <w:sz w:val="16"/>
                <w:szCs w:val="16"/>
                <w:vertAlign w:val="superscript"/>
                <w:lang w:val="en-US" w:eastAsia="en-US"/>
              </w:rPr>
            </w:pPr>
            <w:r w:rsidRPr="00781F4C">
              <w:rPr>
                <w:rFonts w:asciiTheme="majorBidi" w:eastAsiaTheme="minorHAnsi" w:hAnsiTheme="majorBidi" w:cstheme="majorBidi"/>
                <w:sz w:val="16"/>
                <w:szCs w:val="16"/>
                <w:vertAlign w:val="superscript"/>
                <w:lang w:val="en-US" w:eastAsia="en-US"/>
              </w:rPr>
              <w:t>***</w:t>
            </w:r>
          </w:p>
        </w:tc>
        <w:tc>
          <w:tcPr>
            <w:tcW w:w="535" w:type="pct"/>
            <w:vAlign w:val="center"/>
          </w:tcPr>
          <w:p w14:paraId="0DF7EF06" w14:textId="37ED35FE" w:rsidR="007D506E" w:rsidRPr="00781F4C" w:rsidRDefault="00E4196C" w:rsidP="00CF6621">
            <w:pPr>
              <w:keepNext/>
              <w:spacing w:line="259" w:lineRule="auto"/>
              <w:jc w:val="center"/>
              <w:rPr>
                <w:rFonts w:asciiTheme="majorBidi" w:eastAsiaTheme="minorHAnsi" w:hAnsiTheme="majorBidi" w:cstheme="majorBidi"/>
                <w:sz w:val="16"/>
                <w:szCs w:val="16"/>
                <w:lang w:val="en-US" w:eastAsia="en-US"/>
              </w:rPr>
            </w:pPr>
            <w:r w:rsidRPr="00781F4C">
              <w:rPr>
                <w:rFonts w:asciiTheme="majorBidi" w:eastAsiaTheme="minorHAnsi" w:hAnsiTheme="majorBidi" w:cstheme="majorBidi"/>
                <w:sz w:val="16"/>
                <w:szCs w:val="16"/>
                <w:lang w:val="en-US" w:eastAsia="en-US"/>
              </w:rPr>
              <w:t>-2.137</w:t>
            </w:r>
          </w:p>
        </w:tc>
        <w:tc>
          <w:tcPr>
            <w:tcW w:w="156" w:type="pct"/>
            <w:tcBorders>
              <w:right w:val="dashSmallGap" w:sz="12" w:space="0" w:color="auto"/>
            </w:tcBorders>
            <w:tcMar>
              <w:left w:w="0" w:type="dxa"/>
              <w:right w:w="0" w:type="dxa"/>
            </w:tcMar>
            <w:vAlign w:val="center"/>
          </w:tcPr>
          <w:p w14:paraId="7B996F59" w14:textId="77777777" w:rsidR="007D506E" w:rsidRPr="00781F4C" w:rsidRDefault="007D506E" w:rsidP="00CF6621">
            <w:pPr>
              <w:keepNext/>
              <w:spacing w:line="259" w:lineRule="auto"/>
              <w:jc w:val="center"/>
              <w:rPr>
                <w:rFonts w:asciiTheme="majorBidi" w:eastAsiaTheme="minorHAnsi" w:hAnsiTheme="majorBidi" w:cstheme="majorBidi"/>
                <w:sz w:val="16"/>
                <w:szCs w:val="16"/>
                <w:vertAlign w:val="superscript"/>
                <w:lang w:val="en-US" w:eastAsia="en-US"/>
              </w:rPr>
            </w:pPr>
            <w:r w:rsidRPr="00781F4C">
              <w:rPr>
                <w:rFonts w:asciiTheme="majorBidi" w:eastAsiaTheme="minorHAnsi" w:hAnsiTheme="majorBidi" w:cstheme="majorBidi"/>
                <w:sz w:val="16"/>
                <w:szCs w:val="16"/>
                <w:vertAlign w:val="superscript"/>
                <w:lang w:val="en-US" w:eastAsia="en-US"/>
              </w:rPr>
              <w:t>***</w:t>
            </w:r>
          </w:p>
        </w:tc>
        <w:tc>
          <w:tcPr>
            <w:tcW w:w="536" w:type="pct"/>
            <w:tcBorders>
              <w:left w:val="dashSmallGap" w:sz="12" w:space="0" w:color="auto"/>
            </w:tcBorders>
            <w:vAlign w:val="center"/>
          </w:tcPr>
          <w:p w14:paraId="01C1C8FF" w14:textId="04F8DC9B" w:rsidR="007D506E" w:rsidRPr="00781F4C" w:rsidRDefault="002D10BC" w:rsidP="00CF6621">
            <w:pPr>
              <w:keepNext/>
              <w:spacing w:line="259" w:lineRule="auto"/>
              <w:jc w:val="center"/>
              <w:rPr>
                <w:rFonts w:asciiTheme="majorBidi" w:eastAsiaTheme="minorHAnsi" w:hAnsiTheme="majorBidi" w:cstheme="majorBidi"/>
                <w:sz w:val="16"/>
                <w:szCs w:val="16"/>
                <w:lang w:val="en-US" w:eastAsia="en-US"/>
              </w:rPr>
            </w:pPr>
            <w:r w:rsidRPr="00781F4C">
              <w:rPr>
                <w:rFonts w:asciiTheme="majorBidi" w:eastAsiaTheme="minorHAnsi" w:hAnsiTheme="majorBidi" w:cstheme="majorBidi"/>
                <w:sz w:val="16"/>
                <w:szCs w:val="16"/>
                <w:lang w:val="en-US" w:eastAsia="en-US"/>
              </w:rPr>
              <w:t>-1.7677</w:t>
            </w:r>
          </w:p>
        </w:tc>
        <w:tc>
          <w:tcPr>
            <w:tcW w:w="266" w:type="pct"/>
            <w:tcMar>
              <w:left w:w="0" w:type="dxa"/>
            </w:tcMar>
            <w:vAlign w:val="center"/>
          </w:tcPr>
          <w:p w14:paraId="0248A1ED" w14:textId="79A7F2CE" w:rsidR="007D506E" w:rsidRPr="00781F4C" w:rsidRDefault="009F3B94" w:rsidP="00CF6621">
            <w:pPr>
              <w:keepNext/>
              <w:spacing w:line="259" w:lineRule="auto"/>
              <w:jc w:val="center"/>
              <w:rPr>
                <w:rFonts w:asciiTheme="majorBidi" w:eastAsiaTheme="minorHAnsi" w:hAnsiTheme="majorBidi" w:cstheme="majorBidi"/>
                <w:sz w:val="16"/>
                <w:szCs w:val="16"/>
                <w:vertAlign w:val="superscript"/>
                <w:lang w:val="en-US" w:eastAsia="en-US"/>
              </w:rPr>
            </w:pPr>
            <w:r w:rsidRPr="00781F4C">
              <w:rPr>
                <w:rFonts w:asciiTheme="majorBidi" w:eastAsiaTheme="minorHAnsi" w:hAnsiTheme="majorBidi" w:cstheme="majorBidi"/>
                <w:sz w:val="16"/>
                <w:szCs w:val="16"/>
                <w:vertAlign w:val="superscript"/>
                <w:lang w:val="en-US" w:eastAsia="en-US"/>
              </w:rPr>
              <w:t>*</w:t>
            </w:r>
          </w:p>
        </w:tc>
      </w:tr>
      <w:tr w:rsidR="00207B69" w:rsidRPr="00781F4C" w14:paraId="21080148" w14:textId="77777777" w:rsidTr="00207B69">
        <w:trPr>
          <w:trHeight w:val="100"/>
          <w:jc w:val="center"/>
        </w:trPr>
        <w:tc>
          <w:tcPr>
            <w:tcW w:w="741" w:type="pct"/>
            <w:tcBorders>
              <w:right w:val="dashSmallGap" w:sz="12" w:space="0" w:color="auto"/>
            </w:tcBorders>
            <w:vAlign w:val="center"/>
          </w:tcPr>
          <w:p w14:paraId="2D5B0C93" w14:textId="77777777" w:rsidR="00207B69" w:rsidRPr="00781F4C" w:rsidRDefault="00207B69" w:rsidP="008E08A5">
            <w:pPr>
              <w:keepNext/>
              <w:spacing w:line="259" w:lineRule="auto"/>
              <w:rPr>
                <w:rFonts w:asciiTheme="majorBidi" w:eastAsiaTheme="minorHAnsi" w:hAnsiTheme="majorBidi" w:cstheme="majorBidi"/>
                <w:sz w:val="16"/>
                <w:szCs w:val="16"/>
                <w:lang w:val="en-US" w:eastAsia="en-US" w:bidi="fa-IR"/>
              </w:rPr>
            </w:pPr>
            <w:r w:rsidRPr="00781F4C">
              <w:rPr>
                <w:rFonts w:asciiTheme="majorBidi" w:eastAsiaTheme="minorHAnsi" w:hAnsiTheme="majorBidi" w:cstheme="majorBidi"/>
                <w:sz w:val="16"/>
                <w:szCs w:val="16"/>
                <w:lang w:val="en-US" w:eastAsia="en-US" w:bidi="fa-IR"/>
              </w:rPr>
              <w:t>Constant</w:t>
            </w:r>
          </w:p>
        </w:tc>
        <w:tc>
          <w:tcPr>
            <w:tcW w:w="639" w:type="pct"/>
            <w:tcBorders>
              <w:left w:val="dashSmallGap" w:sz="12" w:space="0" w:color="auto"/>
            </w:tcBorders>
          </w:tcPr>
          <w:p w14:paraId="18FE233E" w14:textId="5A5D981C" w:rsidR="00207B69" w:rsidRPr="00781F4C" w:rsidRDefault="00207B69" w:rsidP="00CF6621">
            <w:pPr>
              <w:keepNext/>
              <w:spacing w:line="259" w:lineRule="auto"/>
              <w:jc w:val="center"/>
              <w:rPr>
                <w:rFonts w:asciiTheme="majorBidi" w:eastAsiaTheme="minorHAnsi" w:hAnsiTheme="majorBidi" w:cstheme="majorBidi"/>
                <w:sz w:val="16"/>
                <w:szCs w:val="16"/>
                <w:lang w:val="en-US" w:eastAsia="en-US"/>
              </w:rPr>
            </w:pPr>
            <w:r w:rsidRPr="00781F4C">
              <w:rPr>
                <w:rFonts w:asciiTheme="majorBidi" w:eastAsiaTheme="minorHAnsi" w:hAnsiTheme="majorBidi" w:cstheme="majorBidi"/>
                <w:sz w:val="16"/>
                <w:szCs w:val="16"/>
                <w:lang w:val="en-US" w:eastAsia="en-US"/>
              </w:rPr>
              <w:t>21.591</w:t>
            </w:r>
          </w:p>
        </w:tc>
        <w:tc>
          <w:tcPr>
            <w:tcW w:w="157" w:type="pct"/>
            <w:tcMar>
              <w:left w:w="0" w:type="dxa"/>
            </w:tcMar>
          </w:tcPr>
          <w:p w14:paraId="689AD212" w14:textId="57A1D0F9" w:rsidR="00207B69" w:rsidRPr="00781F4C" w:rsidRDefault="00207B69" w:rsidP="00CF6621">
            <w:pPr>
              <w:keepNext/>
              <w:spacing w:line="259" w:lineRule="auto"/>
              <w:jc w:val="center"/>
              <w:rPr>
                <w:rFonts w:asciiTheme="majorBidi" w:eastAsiaTheme="minorHAnsi" w:hAnsiTheme="majorBidi" w:cstheme="majorBidi"/>
                <w:sz w:val="16"/>
                <w:szCs w:val="16"/>
                <w:vertAlign w:val="superscript"/>
                <w:lang w:val="en-US" w:eastAsia="en-US"/>
              </w:rPr>
            </w:pPr>
            <w:r w:rsidRPr="00781F4C">
              <w:rPr>
                <w:rFonts w:asciiTheme="majorBidi" w:eastAsiaTheme="minorHAnsi" w:hAnsiTheme="majorBidi" w:cstheme="majorBidi"/>
                <w:sz w:val="16"/>
                <w:szCs w:val="16"/>
                <w:vertAlign w:val="superscript"/>
                <w:lang w:val="en-US" w:eastAsia="en-US"/>
              </w:rPr>
              <w:t>***</w:t>
            </w:r>
          </w:p>
        </w:tc>
        <w:tc>
          <w:tcPr>
            <w:tcW w:w="486" w:type="pct"/>
            <w:vAlign w:val="center"/>
          </w:tcPr>
          <w:p w14:paraId="1679E07F" w14:textId="74E99231" w:rsidR="00207B69" w:rsidRPr="00781F4C" w:rsidRDefault="00207B69" w:rsidP="00CF6621">
            <w:pPr>
              <w:keepNext/>
              <w:spacing w:line="259" w:lineRule="auto"/>
              <w:jc w:val="center"/>
              <w:rPr>
                <w:rFonts w:asciiTheme="majorBidi" w:eastAsiaTheme="minorHAnsi" w:hAnsiTheme="majorBidi" w:cstheme="majorBidi"/>
                <w:sz w:val="16"/>
                <w:szCs w:val="16"/>
                <w:lang w:val="en-US" w:eastAsia="en-US"/>
              </w:rPr>
            </w:pPr>
            <w:r w:rsidRPr="00781F4C">
              <w:rPr>
                <w:rFonts w:asciiTheme="majorBidi" w:eastAsiaTheme="minorHAnsi" w:hAnsiTheme="majorBidi" w:cstheme="majorBidi"/>
                <w:sz w:val="16"/>
                <w:szCs w:val="16"/>
                <w:lang w:val="en-US" w:eastAsia="en-US"/>
              </w:rPr>
              <w:t>23.115</w:t>
            </w:r>
          </w:p>
        </w:tc>
        <w:tc>
          <w:tcPr>
            <w:tcW w:w="157" w:type="pct"/>
            <w:gridSpan w:val="2"/>
            <w:tcMar>
              <w:left w:w="0" w:type="dxa"/>
            </w:tcMar>
            <w:vAlign w:val="center"/>
          </w:tcPr>
          <w:p w14:paraId="5CA62773" w14:textId="77777777" w:rsidR="00207B69" w:rsidRPr="00781F4C" w:rsidRDefault="00207B69" w:rsidP="00CF6621">
            <w:pPr>
              <w:keepNext/>
              <w:spacing w:line="259" w:lineRule="auto"/>
              <w:jc w:val="center"/>
              <w:rPr>
                <w:rFonts w:asciiTheme="majorBidi" w:eastAsiaTheme="minorHAnsi" w:hAnsiTheme="majorBidi" w:cstheme="majorBidi"/>
                <w:sz w:val="16"/>
                <w:szCs w:val="16"/>
                <w:vertAlign w:val="superscript"/>
                <w:lang w:val="en-US" w:eastAsia="en-US"/>
              </w:rPr>
            </w:pPr>
            <w:r w:rsidRPr="00781F4C">
              <w:rPr>
                <w:rFonts w:asciiTheme="majorBidi" w:eastAsiaTheme="minorHAnsi" w:hAnsiTheme="majorBidi" w:cstheme="majorBidi"/>
                <w:sz w:val="16"/>
                <w:szCs w:val="16"/>
                <w:vertAlign w:val="superscript"/>
                <w:lang w:val="en-US" w:eastAsia="en-US"/>
              </w:rPr>
              <w:t>***</w:t>
            </w:r>
          </w:p>
        </w:tc>
        <w:tc>
          <w:tcPr>
            <w:tcW w:w="492" w:type="pct"/>
            <w:vAlign w:val="center"/>
          </w:tcPr>
          <w:p w14:paraId="6D445345" w14:textId="1F1AD518" w:rsidR="00207B69" w:rsidRPr="00781F4C" w:rsidRDefault="00207B69" w:rsidP="00CF6621">
            <w:pPr>
              <w:keepNext/>
              <w:spacing w:line="259" w:lineRule="auto"/>
              <w:jc w:val="center"/>
              <w:rPr>
                <w:rFonts w:asciiTheme="majorBidi" w:eastAsiaTheme="minorHAnsi" w:hAnsiTheme="majorBidi" w:cstheme="majorBidi"/>
                <w:sz w:val="16"/>
                <w:szCs w:val="16"/>
                <w:lang w:val="en-US" w:eastAsia="en-US"/>
              </w:rPr>
            </w:pPr>
            <w:r w:rsidRPr="00781F4C">
              <w:rPr>
                <w:rFonts w:asciiTheme="majorBidi" w:eastAsiaTheme="minorHAnsi" w:hAnsiTheme="majorBidi" w:cstheme="majorBidi"/>
                <w:sz w:val="16"/>
                <w:szCs w:val="16"/>
                <w:lang w:val="en-US" w:eastAsia="en-US"/>
              </w:rPr>
              <w:t>27.498</w:t>
            </w:r>
          </w:p>
        </w:tc>
        <w:tc>
          <w:tcPr>
            <w:tcW w:w="157" w:type="pct"/>
            <w:tcMar>
              <w:left w:w="0" w:type="dxa"/>
            </w:tcMar>
            <w:vAlign w:val="center"/>
          </w:tcPr>
          <w:p w14:paraId="713B7EDE" w14:textId="77777777" w:rsidR="00207B69" w:rsidRPr="00781F4C" w:rsidRDefault="00207B69" w:rsidP="00CF6621">
            <w:pPr>
              <w:keepNext/>
              <w:spacing w:line="259" w:lineRule="auto"/>
              <w:jc w:val="center"/>
              <w:rPr>
                <w:rFonts w:asciiTheme="majorBidi" w:eastAsiaTheme="minorHAnsi" w:hAnsiTheme="majorBidi" w:cstheme="majorBidi"/>
                <w:sz w:val="16"/>
                <w:szCs w:val="16"/>
                <w:vertAlign w:val="superscript"/>
                <w:lang w:val="en-US" w:eastAsia="en-US"/>
              </w:rPr>
            </w:pPr>
            <w:r w:rsidRPr="00781F4C">
              <w:rPr>
                <w:rFonts w:asciiTheme="majorBidi" w:eastAsiaTheme="minorHAnsi" w:hAnsiTheme="majorBidi" w:cstheme="majorBidi"/>
                <w:sz w:val="16"/>
                <w:szCs w:val="16"/>
                <w:vertAlign w:val="superscript"/>
                <w:lang w:val="en-US" w:eastAsia="en-US"/>
              </w:rPr>
              <w:t>***</w:t>
            </w:r>
          </w:p>
        </w:tc>
        <w:tc>
          <w:tcPr>
            <w:tcW w:w="507" w:type="pct"/>
            <w:vAlign w:val="center"/>
          </w:tcPr>
          <w:p w14:paraId="127EEDC8" w14:textId="7A2C4E6C" w:rsidR="00207B69" w:rsidRPr="00781F4C" w:rsidRDefault="00E4196C" w:rsidP="00CF6621">
            <w:pPr>
              <w:keepNext/>
              <w:spacing w:line="259" w:lineRule="auto"/>
              <w:jc w:val="center"/>
              <w:rPr>
                <w:rFonts w:asciiTheme="majorBidi" w:eastAsiaTheme="minorHAnsi" w:hAnsiTheme="majorBidi" w:cstheme="majorBidi"/>
                <w:sz w:val="16"/>
                <w:szCs w:val="16"/>
                <w:lang w:val="en-US" w:eastAsia="en-US"/>
              </w:rPr>
            </w:pPr>
            <w:r w:rsidRPr="00781F4C">
              <w:rPr>
                <w:rFonts w:asciiTheme="majorBidi" w:eastAsiaTheme="minorHAnsi" w:hAnsiTheme="majorBidi" w:cstheme="majorBidi"/>
                <w:sz w:val="16"/>
                <w:szCs w:val="16"/>
                <w:lang w:val="en-US" w:eastAsia="en-US"/>
              </w:rPr>
              <w:t>30.406</w:t>
            </w:r>
          </w:p>
        </w:tc>
        <w:tc>
          <w:tcPr>
            <w:tcW w:w="172" w:type="pct"/>
            <w:tcMar>
              <w:left w:w="0" w:type="dxa"/>
            </w:tcMar>
            <w:vAlign w:val="center"/>
          </w:tcPr>
          <w:p w14:paraId="2A74D11F" w14:textId="77777777" w:rsidR="00207B69" w:rsidRPr="00781F4C" w:rsidRDefault="00207B69" w:rsidP="00CF6621">
            <w:pPr>
              <w:keepNext/>
              <w:spacing w:line="259" w:lineRule="auto"/>
              <w:jc w:val="center"/>
              <w:rPr>
                <w:rFonts w:asciiTheme="majorBidi" w:eastAsiaTheme="minorHAnsi" w:hAnsiTheme="majorBidi" w:cstheme="majorBidi"/>
                <w:sz w:val="16"/>
                <w:szCs w:val="16"/>
                <w:vertAlign w:val="superscript"/>
                <w:lang w:val="en-US" w:eastAsia="en-US"/>
              </w:rPr>
            </w:pPr>
            <w:r w:rsidRPr="00781F4C">
              <w:rPr>
                <w:rFonts w:asciiTheme="majorBidi" w:eastAsiaTheme="minorHAnsi" w:hAnsiTheme="majorBidi" w:cstheme="majorBidi"/>
                <w:sz w:val="16"/>
                <w:szCs w:val="16"/>
                <w:vertAlign w:val="superscript"/>
                <w:lang w:val="en-US" w:eastAsia="en-US"/>
              </w:rPr>
              <w:t>***</w:t>
            </w:r>
          </w:p>
        </w:tc>
        <w:tc>
          <w:tcPr>
            <w:tcW w:w="535" w:type="pct"/>
            <w:vAlign w:val="center"/>
          </w:tcPr>
          <w:p w14:paraId="5E876654" w14:textId="3BC6CB92" w:rsidR="00207B69" w:rsidRPr="00781F4C" w:rsidRDefault="00E4196C" w:rsidP="00CF6621">
            <w:pPr>
              <w:keepNext/>
              <w:spacing w:line="259" w:lineRule="auto"/>
              <w:jc w:val="center"/>
              <w:rPr>
                <w:rFonts w:asciiTheme="majorBidi" w:eastAsiaTheme="minorHAnsi" w:hAnsiTheme="majorBidi" w:cstheme="majorBidi"/>
                <w:sz w:val="16"/>
                <w:szCs w:val="16"/>
                <w:lang w:val="en-US" w:eastAsia="en-US"/>
              </w:rPr>
            </w:pPr>
            <w:r w:rsidRPr="00781F4C">
              <w:rPr>
                <w:rFonts w:asciiTheme="majorBidi" w:eastAsiaTheme="minorHAnsi" w:hAnsiTheme="majorBidi" w:cstheme="majorBidi"/>
                <w:sz w:val="16"/>
                <w:szCs w:val="16"/>
                <w:lang w:val="en-US" w:eastAsia="en-US"/>
              </w:rPr>
              <w:t>32.872</w:t>
            </w:r>
          </w:p>
        </w:tc>
        <w:tc>
          <w:tcPr>
            <w:tcW w:w="156" w:type="pct"/>
            <w:tcBorders>
              <w:right w:val="dashSmallGap" w:sz="12" w:space="0" w:color="auto"/>
            </w:tcBorders>
            <w:tcMar>
              <w:left w:w="0" w:type="dxa"/>
              <w:right w:w="0" w:type="dxa"/>
            </w:tcMar>
            <w:vAlign w:val="center"/>
          </w:tcPr>
          <w:p w14:paraId="0B6D9D14" w14:textId="77777777" w:rsidR="00207B69" w:rsidRPr="00781F4C" w:rsidRDefault="00207B69" w:rsidP="00CF6621">
            <w:pPr>
              <w:keepNext/>
              <w:spacing w:line="259" w:lineRule="auto"/>
              <w:jc w:val="center"/>
              <w:rPr>
                <w:rFonts w:asciiTheme="majorBidi" w:eastAsiaTheme="minorHAnsi" w:hAnsiTheme="majorBidi" w:cstheme="majorBidi"/>
                <w:sz w:val="16"/>
                <w:szCs w:val="16"/>
                <w:vertAlign w:val="superscript"/>
                <w:lang w:val="en-US" w:eastAsia="en-US"/>
              </w:rPr>
            </w:pPr>
            <w:r w:rsidRPr="00781F4C">
              <w:rPr>
                <w:rFonts w:asciiTheme="majorBidi" w:eastAsiaTheme="minorHAnsi" w:hAnsiTheme="majorBidi" w:cstheme="majorBidi"/>
                <w:sz w:val="16"/>
                <w:szCs w:val="16"/>
                <w:vertAlign w:val="superscript"/>
                <w:lang w:val="en-US" w:eastAsia="en-US"/>
              </w:rPr>
              <w:t>***</w:t>
            </w:r>
          </w:p>
        </w:tc>
        <w:tc>
          <w:tcPr>
            <w:tcW w:w="536" w:type="pct"/>
            <w:tcBorders>
              <w:left w:val="dashSmallGap" w:sz="12" w:space="0" w:color="auto"/>
            </w:tcBorders>
            <w:vAlign w:val="center"/>
          </w:tcPr>
          <w:p w14:paraId="4EC0887F" w14:textId="1A28F91A" w:rsidR="00207B69" w:rsidRPr="00781F4C" w:rsidRDefault="009F3B94" w:rsidP="00CF6621">
            <w:pPr>
              <w:keepNext/>
              <w:spacing w:line="259" w:lineRule="auto"/>
              <w:jc w:val="center"/>
              <w:rPr>
                <w:rFonts w:asciiTheme="majorBidi" w:eastAsiaTheme="minorHAnsi" w:hAnsiTheme="majorBidi" w:cstheme="majorBidi"/>
                <w:sz w:val="16"/>
                <w:szCs w:val="16"/>
                <w:lang w:val="en-US" w:eastAsia="en-US"/>
              </w:rPr>
            </w:pPr>
            <w:r w:rsidRPr="00781F4C">
              <w:rPr>
                <w:rFonts w:asciiTheme="majorBidi" w:eastAsiaTheme="minorHAnsi" w:hAnsiTheme="majorBidi" w:cstheme="majorBidi"/>
                <w:sz w:val="16"/>
                <w:szCs w:val="16"/>
                <w:lang w:val="en-US" w:eastAsia="en-US"/>
              </w:rPr>
              <w:t>25.232</w:t>
            </w:r>
          </w:p>
        </w:tc>
        <w:tc>
          <w:tcPr>
            <w:tcW w:w="266" w:type="pct"/>
            <w:tcMar>
              <w:left w:w="0" w:type="dxa"/>
            </w:tcMar>
            <w:vAlign w:val="center"/>
          </w:tcPr>
          <w:p w14:paraId="4B413E83" w14:textId="77777777" w:rsidR="00207B69" w:rsidRPr="00781F4C" w:rsidRDefault="00207B69" w:rsidP="00CF6621">
            <w:pPr>
              <w:keepNext/>
              <w:spacing w:line="259" w:lineRule="auto"/>
              <w:jc w:val="center"/>
              <w:rPr>
                <w:rFonts w:asciiTheme="majorBidi" w:eastAsiaTheme="minorHAnsi" w:hAnsiTheme="majorBidi" w:cstheme="majorBidi"/>
                <w:sz w:val="16"/>
                <w:szCs w:val="16"/>
                <w:vertAlign w:val="superscript"/>
                <w:lang w:val="en-US" w:eastAsia="en-US"/>
              </w:rPr>
            </w:pPr>
            <w:r w:rsidRPr="00781F4C">
              <w:rPr>
                <w:rFonts w:asciiTheme="majorBidi" w:eastAsiaTheme="minorHAnsi" w:hAnsiTheme="majorBidi" w:cstheme="majorBidi"/>
                <w:sz w:val="16"/>
                <w:szCs w:val="16"/>
                <w:vertAlign w:val="superscript"/>
                <w:lang w:val="en-US" w:eastAsia="en-US"/>
              </w:rPr>
              <w:t>***</w:t>
            </w:r>
          </w:p>
        </w:tc>
      </w:tr>
      <w:tr w:rsidR="00207B69" w:rsidRPr="00781F4C" w14:paraId="371D2B56" w14:textId="77777777" w:rsidTr="00207B69">
        <w:trPr>
          <w:trHeight w:val="242"/>
          <w:jc w:val="center"/>
        </w:trPr>
        <w:tc>
          <w:tcPr>
            <w:tcW w:w="741" w:type="pct"/>
            <w:tcBorders>
              <w:bottom w:val="single" w:sz="24" w:space="0" w:color="auto"/>
              <w:right w:val="dashSmallGap" w:sz="12" w:space="0" w:color="auto"/>
            </w:tcBorders>
            <w:vAlign w:val="center"/>
          </w:tcPr>
          <w:p w14:paraId="4B25EAE4" w14:textId="77777777" w:rsidR="007D506E" w:rsidRPr="00781F4C" w:rsidRDefault="007D506E" w:rsidP="008E08A5">
            <w:pPr>
              <w:keepNext/>
              <w:spacing w:line="259" w:lineRule="auto"/>
              <w:rPr>
                <w:rFonts w:asciiTheme="majorBidi" w:eastAsiaTheme="minorHAnsi" w:hAnsiTheme="majorBidi" w:cstheme="majorBidi"/>
                <w:sz w:val="16"/>
                <w:szCs w:val="16"/>
                <w:vertAlign w:val="superscript"/>
                <w:lang w:val="en-US" w:eastAsia="en-US" w:bidi="fa-IR"/>
              </w:rPr>
            </w:pPr>
            <w:r w:rsidRPr="00781F4C">
              <w:rPr>
                <w:rFonts w:asciiTheme="majorBidi" w:eastAsiaTheme="minorHAnsi" w:hAnsiTheme="majorBidi" w:cstheme="majorBidi"/>
                <w:sz w:val="16"/>
                <w:szCs w:val="16"/>
                <w:lang w:val="en-US" w:eastAsia="en-US" w:bidi="fa-IR"/>
              </w:rPr>
              <w:t>Pseudo R</w:t>
            </w:r>
            <w:r w:rsidRPr="00781F4C">
              <w:rPr>
                <w:rFonts w:asciiTheme="majorBidi" w:eastAsiaTheme="minorHAnsi" w:hAnsiTheme="majorBidi" w:cstheme="majorBidi"/>
                <w:sz w:val="16"/>
                <w:szCs w:val="16"/>
                <w:vertAlign w:val="superscript"/>
                <w:lang w:val="en-US" w:eastAsia="en-US" w:bidi="fa-IR"/>
              </w:rPr>
              <w:t>2</w:t>
            </w:r>
          </w:p>
        </w:tc>
        <w:tc>
          <w:tcPr>
            <w:tcW w:w="639" w:type="pct"/>
            <w:tcBorders>
              <w:left w:val="dashSmallGap" w:sz="12" w:space="0" w:color="auto"/>
              <w:bottom w:val="single" w:sz="24" w:space="0" w:color="auto"/>
            </w:tcBorders>
            <w:vAlign w:val="center"/>
          </w:tcPr>
          <w:p w14:paraId="08B10E77" w14:textId="329AA5D3" w:rsidR="007D506E" w:rsidRPr="00781F4C" w:rsidRDefault="007D506E" w:rsidP="00CF6621">
            <w:pPr>
              <w:keepNext/>
              <w:spacing w:line="259" w:lineRule="auto"/>
              <w:jc w:val="center"/>
              <w:rPr>
                <w:rFonts w:asciiTheme="majorBidi" w:eastAsiaTheme="minorHAnsi" w:hAnsiTheme="majorBidi" w:cstheme="majorBidi"/>
                <w:sz w:val="16"/>
                <w:szCs w:val="16"/>
                <w:lang w:val="en-US" w:eastAsia="en-US"/>
              </w:rPr>
            </w:pPr>
            <w:r w:rsidRPr="00781F4C">
              <w:rPr>
                <w:rFonts w:asciiTheme="majorBidi" w:eastAsiaTheme="minorHAnsi" w:hAnsiTheme="majorBidi" w:cstheme="majorBidi"/>
                <w:sz w:val="16"/>
                <w:szCs w:val="16"/>
                <w:lang w:val="en-US" w:eastAsia="en-US"/>
              </w:rPr>
              <w:t>0.</w:t>
            </w:r>
            <w:r w:rsidR="00207B69" w:rsidRPr="00781F4C">
              <w:rPr>
                <w:rFonts w:asciiTheme="majorBidi" w:eastAsiaTheme="minorHAnsi" w:hAnsiTheme="majorBidi" w:cstheme="majorBidi"/>
                <w:sz w:val="16"/>
                <w:szCs w:val="16"/>
                <w:lang w:val="en-US" w:eastAsia="en-US"/>
              </w:rPr>
              <w:t>795</w:t>
            </w:r>
          </w:p>
        </w:tc>
        <w:tc>
          <w:tcPr>
            <w:tcW w:w="157" w:type="pct"/>
            <w:tcBorders>
              <w:bottom w:val="single" w:sz="24" w:space="0" w:color="auto"/>
            </w:tcBorders>
            <w:tcMar>
              <w:left w:w="0" w:type="dxa"/>
            </w:tcMar>
            <w:vAlign w:val="center"/>
          </w:tcPr>
          <w:p w14:paraId="0B849259" w14:textId="77777777" w:rsidR="007D506E" w:rsidRPr="00781F4C" w:rsidRDefault="007D506E" w:rsidP="00CF6621">
            <w:pPr>
              <w:keepNext/>
              <w:spacing w:line="259" w:lineRule="auto"/>
              <w:jc w:val="center"/>
              <w:rPr>
                <w:rFonts w:asciiTheme="majorBidi" w:eastAsiaTheme="minorHAnsi" w:hAnsiTheme="majorBidi" w:cstheme="majorBidi"/>
                <w:sz w:val="16"/>
                <w:szCs w:val="16"/>
                <w:lang w:val="en-US" w:eastAsia="en-US"/>
              </w:rPr>
            </w:pPr>
          </w:p>
        </w:tc>
        <w:tc>
          <w:tcPr>
            <w:tcW w:w="486" w:type="pct"/>
            <w:tcBorders>
              <w:bottom w:val="single" w:sz="24" w:space="0" w:color="auto"/>
            </w:tcBorders>
            <w:vAlign w:val="center"/>
          </w:tcPr>
          <w:p w14:paraId="77EF0CC3" w14:textId="77777777" w:rsidR="007D506E" w:rsidRPr="00781F4C" w:rsidRDefault="007D506E" w:rsidP="00CF6621">
            <w:pPr>
              <w:keepNext/>
              <w:spacing w:line="259" w:lineRule="auto"/>
              <w:jc w:val="center"/>
              <w:rPr>
                <w:rFonts w:asciiTheme="majorBidi" w:eastAsiaTheme="minorHAnsi" w:hAnsiTheme="majorBidi" w:cstheme="majorBidi"/>
                <w:sz w:val="16"/>
                <w:szCs w:val="16"/>
                <w:lang w:val="en-US" w:eastAsia="en-US"/>
              </w:rPr>
            </w:pPr>
            <w:r w:rsidRPr="00781F4C">
              <w:rPr>
                <w:rFonts w:asciiTheme="majorBidi" w:eastAsiaTheme="minorHAnsi" w:hAnsiTheme="majorBidi" w:cstheme="majorBidi"/>
                <w:sz w:val="16"/>
                <w:szCs w:val="16"/>
                <w:lang w:val="en-US" w:eastAsia="en-US"/>
              </w:rPr>
              <w:t>0.8831</w:t>
            </w:r>
          </w:p>
        </w:tc>
        <w:tc>
          <w:tcPr>
            <w:tcW w:w="149" w:type="pct"/>
            <w:tcBorders>
              <w:bottom w:val="single" w:sz="24" w:space="0" w:color="auto"/>
            </w:tcBorders>
            <w:tcMar>
              <w:left w:w="0" w:type="dxa"/>
            </w:tcMar>
            <w:vAlign w:val="center"/>
          </w:tcPr>
          <w:p w14:paraId="28C98A08" w14:textId="77777777" w:rsidR="007D506E" w:rsidRPr="00781F4C" w:rsidRDefault="007D506E" w:rsidP="00CF6621">
            <w:pPr>
              <w:keepNext/>
              <w:spacing w:line="259" w:lineRule="auto"/>
              <w:jc w:val="center"/>
              <w:rPr>
                <w:rFonts w:asciiTheme="majorBidi" w:eastAsiaTheme="minorHAnsi" w:hAnsiTheme="majorBidi" w:cstheme="majorBidi"/>
                <w:sz w:val="16"/>
                <w:szCs w:val="16"/>
                <w:lang w:val="en-US" w:eastAsia="en-US"/>
              </w:rPr>
            </w:pPr>
          </w:p>
        </w:tc>
        <w:tc>
          <w:tcPr>
            <w:tcW w:w="500" w:type="pct"/>
            <w:gridSpan w:val="2"/>
            <w:tcBorders>
              <w:bottom w:val="single" w:sz="24" w:space="0" w:color="auto"/>
            </w:tcBorders>
            <w:vAlign w:val="center"/>
          </w:tcPr>
          <w:p w14:paraId="56C10BAE" w14:textId="77777777" w:rsidR="007D506E" w:rsidRPr="00781F4C" w:rsidRDefault="007D506E" w:rsidP="00CF6621">
            <w:pPr>
              <w:keepNext/>
              <w:spacing w:line="259" w:lineRule="auto"/>
              <w:jc w:val="center"/>
              <w:rPr>
                <w:rFonts w:asciiTheme="majorBidi" w:eastAsiaTheme="minorHAnsi" w:hAnsiTheme="majorBidi" w:cstheme="majorBidi"/>
                <w:sz w:val="16"/>
                <w:szCs w:val="16"/>
                <w:lang w:val="en-US" w:eastAsia="en-US"/>
              </w:rPr>
            </w:pPr>
            <w:r w:rsidRPr="00781F4C">
              <w:rPr>
                <w:rFonts w:asciiTheme="majorBidi" w:eastAsiaTheme="minorHAnsi" w:hAnsiTheme="majorBidi" w:cstheme="majorBidi"/>
                <w:sz w:val="16"/>
                <w:szCs w:val="16"/>
                <w:lang w:val="en-US" w:eastAsia="en-US"/>
              </w:rPr>
              <w:t>0.8802</w:t>
            </w:r>
          </w:p>
        </w:tc>
        <w:tc>
          <w:tcPr>
            <w:tcW w:w="157" w:type="pct"/>
            <w:tcBorders>
              <w:bottom w:val="single" w:sz="24" w:space="0" w:color="auto"/>
            </w:tcBorders>
            <w:vAlign w:val="center"/>
          </w:tcPr>
          <w:p w14:paraId="46E9E395" w14:textId="77777777" w:rsidR="007D506E" w:rsidRPr="00781F4C" w:rsidRDefault="007D506E" w:rsidP="00CF6621">
            <w:pPr>
              <w:keepNext/>
              <w:spacing w:line="259" w:lineRule="auto"/>
              <w:jc w:val="center"/>
              <w:rPr>
                <w:rFonts w:asciiTheme="majorBidi" w:eastAsiaTheme="minorHAnsi" w:hAnsiTheme="majorBidi" w:cstheme="majorBidi"/>
                <w:sz w:val="16"/>
                <w:szCs w:val="16"/>
                <w:lang w:val="en-US" w:eastAsia="en-US"/>
              </w:rPr>
            </w:pPr>
          </w:p>
        </w:tc>
        <w:tc>
          <w:tcPr>
            <w:tcW w:w="507" w:type="pct"/>
            <w:tcBorders>
              <w:bottom w:val="single" w:sz="24" w:space="0" w:color="auto"/>
            </w:tcBorders>
            <w:vAlign w:val="center"/>
          </w:tcPr>
          <w:p w14:paraId="15CCAF03" w14:textId="4BB90230" w:rsidR="007D506E" w:rsidRPr="00781F4C" w:rsidRDefault="00207B69" w:rsidP="00CF6621">
            <w:pPr>
              <w:keepNext/>
              <w:spacing w:line="259" w:lineRule="auto"/>
              <w:jc w:val="center"/>
              <w:rPr>
                <w:rFonts w:asciiTheme="majorBidi" w:eastAsiaTheme="minorHAnsi" w:hAnsiTheme="majorBidi" w:cstheme="majorBidi"/>
                <w:sz w:val="16"/>
                <w:szCs w:val="16"/>
                <w:lang w:val="en-US" w:eastAsia="en-US"/>
              </w:rPr>
            </w:pPr>
            <w:r w:rsidRPr="00781F4C">
              <w:rPr>
                <w:rFonts w:asciiTheme="majorBidi" w:eastAsiaTheme="minorHAnsi" w:hAnsiTheme="majorBidi" w:cstheme="majorBidi"/>
                <w:sz w:val="16"/>
                <w:szCs w:val="16"/>
                <w:lang w:val="en-US" w:eastAsia="en-US"/>
              </w:rPr>
              <w:t>0.90</w:t>
            </w:r>
            <w:r w:rsidR="007D506E" w:rsidRPr="00781F4C">
              <w:rPr>
                <w:rFonts w:asciiTheme="majorBidi" w:eastAsiaTheme="minorHAnsi" w:hAnsiTheme="majorBidi" w:cstheme="majorBidi"/>
                <w:sz w:val="16"/>
                <w:szCs w:val="16"/>
                <w:lang w:val="en-US" w:eastAsia="en-US"/>
              </w:rPr>
              <w:t>19</w:t>
            </w:r>
          </w:p>
        </w:tc>
        <w:tc>
          <w:tcPr>
            <w:tcW w:w="172" w:type="pct"/>
            <w:tcBorders>
              <w:bottom w:val="single" w:sz="24" w:space="0" w:color="auto"/>
            </w:tcBorders>
            <w:vAlign w:val="center"/>
          </w:tcPr>
          <w:p w14:paraId="6862BE6F" w14:textId="77777777" w:rsidR="007D506E" w:rsidRPr="00781F4C" w:rsidRDefault="007D506E" w:rsidP="00CF6621">
            <w:pPr>
              <w:keepNext/>
              <w:spacing w:line="259" w:lineRule="auto"/>
              <w:jc w:val="center"/>
              <w:rPr>
                <w:rFonts w:asciiTheme="majorBidi" w:eastAsiaTheme="minorHAnsi" w:hAnsiTheme="majorBidi" w:cstheme="majorBidi"/>
                <w:sz w:val="16"/>
                <w:szCs w:val="16"/>
                <w:lang w:val="en-US" w:eastAsia="en-US"/>
              </w:rPr>
            </w:pPr>
          </w:p>
        </w:tc>
        <w:tc>
          <w:tcPr>
            <w:tcW w:w="535" w:type="pct"/>
            <w:tcBorders>
              <w:bottom w:val="single" w:sz="24" w:space="0" w:color="auto"/>
            </w:tcBorders>
            <w:vAlign w:val="center"/>
          </w:tcPr>
          <w:p w14:paraId="2F3098F1" w14:textId="05B44CEA" w:rsidR="007D506E" w:rsidRPr="00781F4C" w:rsidRDefault="00207B69" w:rsidP="00CF6621">
            <w:pPr>
              <w:keepNext/>
              <w:spacing w:line="259" w:lineRule="auto"/>
              <w:jc w:val="center"/>
              <w:rPr>
                <w:rFonts w:asciiTheme="majorBidi" w:eastAsiaTheme="minorHAnsi" w:hAnsiTheme="majorBidi" w:cstheme="majorBidi"/>
                <w:sz w:val="16"/>
                <w:szCs w:val="16"/>
                <w:lang w:val="en-US" w:eastAsia="en-US"/>
              </w:rPr>
            </w:pPr>
            <w:r w:rsidRPr="00781F4C">
              <w:rPr>
                <w:rFonts w:asciiTheme="majorBidi" w:eastAsiaTheme="minorHAnsi" w:hAnsiTheme="majorBidi" w:cstheme="majorBidi"/>
                <w:sz w:val="16"/>
                <w:szCs w:val="16"/>
                <w:lang w:val="en-US" w:eastAsia="en-US"/>
              </w:rPr>
              <w:t>0.90</w:t>
            </w:r>
            <w:r w:rsidR="007D506E" w:rsidRPr="00781F4C">
              <w:rPr>
                <w:rFonts w:asciiTheme="majorBidi" w:eastAsiaTheme="minorHAnsi" w:hAnsiTheme="majorBidi" w:cstheme="majorBidi"/>
                <w:sz w:val="16"/>
                <w:szCs w:val="16"/>
                <w:lang w:val="en-US" w:eastAsia="en-US"/>
              </w:rPr>
              <w:t>89</w:t>
            </w:r>
          </w:p>
        </w:tc>
        <w:tc>
          <w:tcPr>
            <w:tcW w:w="156" w:type="pct"/>
            <w:tcBorders>
              <w:bottom w:val="single" w:sz="24" w:space="0" w:color="auto"/>
              <w:right w:val="dashSmallGap" w:sz="12" w:space="0" w:color="auto"/>
            </w:tcBorders>
            <w:vAlign w:val="center"/>
          </w:tcPr>
          <w:p w14:paraId="76682F9D" w14:textId="77777777" w:rsidR="007D506E" w:rsidRPr="00781F4C" w:rsidRDefault="007D506E" w:rsidP="00CF6621">
            <w:pPr>
              <w:keepNext/>
              <w:spacing w:line="259" w:lineRule="auto"/>
              <w:jc w:val="center"/>
              <w:rPr>
                <w:rFonts w:asciiTheme="majorBidi" w:eastAsiaTheme="minorHAnsi" w:hAnsiTheme="majorBidi" w:cstheme="majorBidi"/>
                <w:sz w:val="16"/>
                <w:szCs w:val="16"/>
                <w:lang w:val="en-US" w:eastAsia="en-US"/>
              </w:rPr>
            </w:pPr>
          </w:p>
        </w:tc>
        <w:tc>
          <w:tcPr>
            <w:tcW w:w="536" w:type="pct"/>
            <w:tcBorders>
              <w:left w:val="dashSmallGap" w:sz="12" w:space="0" w:color="auto"/>
              <w:bottom w:val="single" w:sz="24" w:space="0" w:color="auto"/>
            </w:tcBorders>
            <w:vAlign w:val="center"/>
          </w:tcPr>
          <w:p w14:paraId="530DD423" w14:textId="77777777" w:rsidR="007D506E" w:rsidRPr="00781F4C" w:rsidRDefault="007D506E" w:rsidP="00CF6621">
            <w:pPr>
              <w:keepNext/>
              <w:spacing w:line="259" w:lineRule="auto"/>
              <w:jc w:val="center"/>
              <w:rPr>
                <w:rFonts w:asciiTheme="majorBidi" w:eastAsiaTheme="minorHAnsi" w:hAnsiTheme="majorBidi" w:cstheme="majorBidi"/>
                <w:sz w:val="16"/>
                <w:szCs w:val="16"/>
                <w:lang w:val="en-US" w:eastAsia="en-US"/>
              </w:rPr>
            </w:pPr>
            <w:r w:rsidRPr="00781F4C">
              <w:rPr>
                <w:rFonts w:asciiTheme="majorBidi" w:eastAsiaTheme="minorHAnsi" w:hAnsiTheme="majorBidi" w:cstheme="majorBidi"/>
                <w:sz w:val="16"/>
                <w:szCs w:val="16"/>
                <w:lang w:val="en-US" w:eastAsia="en-US"/>
              </w:rPr>
              <w:t>0.8661</w:t>
            </w:r>
          </w:p>
        </w:tc>
        <w:tc>
          <w:tcPr>
            <w:tcW w:w="266" w:type="pct"/>
            <w:tcBorders>
              <w:bottom w:val="single" w:sz="24" w:space="0" w:color="auto"/>
            </w:tcBorders>
            <w:tcMar>
              <w:left w:w="0" w:type="dxa"/>
            </w:tcMar>
            <w:vAlign w:val="center"/>
          </w:tcPr>
          <w:p w14:paraId="54901908" w14:textId="77777777" w:rsidR="007D506E" w:rsidRPr="00781F4C" w:rsidRDefault="007D506E" w:rsidP="00CF6621">
            <w:pPr>
              <w:keepNext/>
              <w:autoSpaceDE w:val="0"/>
              <w:autoSpaceDN w:val="0"/>
              <w:adjustRightInd w:val="0"/>
              <w:spacing w:line="259" w:lineRule="auto"/>
              <w:jc w:val="center"/>
              <w:rPr>
                <w:rFonts w:asciiTheme="majorBidi" w:eastAsiaTheme="minorHAnsi" w:hAnsiTheme="majorBidi" w:cstheme="majorBidi"/>
                <w:sz w:val="16"/>
                <w:szCs w:val="16"/>
                <w:lang w:val="en-US" w:eastAsia="en-US"/>
              </w:rPr>
            </w:pPr>
          </w:p>
        </w:tc>
      </w:tr>
      <w:tr w:rsidR="005737CD" w:rsidRPr="00781F4C" w14:paraId="295400D8" w14:textId="77777777" w:rsidTr="00AA04D8">
        <w:trPr>
          <w:trHeight w:val="498"/>
          <w:jc w:val="center"/>
        </w:trPr>
        <w:tc>
          <w:tcPr>
            <w:tcW w:w="5000" w:type="pct"/>
            <w:gridSpan w:val="14"/>
            <w:tcBorders>
              <w:top w:val="single" w:sz="24" w:space="0" w:color="auto"/>
            </w:tcBorders>
          </w:tcPr>
          <w:p w14:paraId="75145D80" w14:textId="60D8DF73" w:rsidR="000A14A1" w:rsidRPr="00781F4C" w:rsidRDefault="000A14A1" w:rsidP="008E08A5">
            <w:pPr>
              <w:keepNext/>
              <w:spacing w:line="259" w:lineRule="auto"/>
              <w:jc w:val="both"/>
              <w:rPr>
                <w:rFonts w:asciiTheme="majorBidi" w:eastAsiaTheme="minorHAnsi" w:hAnsiTheme="majorBidi" w:cstheme="majorBidi"/>
                <w:sz w:val="16"/>
                <w:szCs w:val="16"/>
                <w:lang w:val="en-US" w:eastAsia="en-US"/>
              </w:rPr>
            </w:pPr>
            <w:r w:rsidRPr="00781F4C">
              <w:rPr>
                <w:rFonts w:asciiTheme="majorBidi" w:eastAsia="Calibri" w:hAnsiTheme="majorBidi" w:cstheme="majorBidi"/>
                <w:sz w:val="16"/>
                <w:szCs w:val="16"/>
                <w:lang w:val="en-US" w:eastAsia="en-US"/>
              </w:rPr>
              <w:t xml:space="preserve">Notes: </w:t>
            </w:r>
            <w:r w:rsidRPr="00781F4C">
              <w:rPr>
                <w:rFonts w:asciiTheme="majorBidi" w:eastAsiaTheme="minorHAnsi" w:hAnsiTheme="majorBidi" w:cstheme="majorBidi"/>
                <w:sz w:val="16"/>
                <w:szCs w:val="16"/>
                <w:lang w:val="en-US" w:eastAsia="en-US"/>
              </w:rPr>
              <w:t>***, **, * denote statistically significant at the 1%, 5%, and 10% level</w:t>
            </w:r>
            <w:r w:rsidR="006F34A9" w:rsidRPr="00781F4C">
              <w:rPr>
                <w:rFonts w:asciiTheme="majorBidi" w:eastAsiaTheme="minorHAnsi" w:hAnsiTheme="majorBidi" w:cstheme="majorBidi"/>
                <w:sz w:val="16"/>
                <w:szCs w:val="16"/>
                <w:lang w:val="en-US" w:eastAsia="en-US"/>
              </w:rPr>
              <w:t>s</w:t>
            </w:r>
            <w:r w:rsidRPr="00781F4C">
              <w:rPr>
                <w:rFonts w:asciiTheme="majorBidi" w:eastAsiaTheme="minorHAnsi" w:hAnsiTheme="majorBidi" w:cstheme="majorBidi"/>
                <w:sz w:val="16"/>
                <w:szCs w:val="16"/>
                <w:lang w:val="en-US" w:eastAsia="en-US"/>
              </w:rPr>
              <w:t>, respectively; “L” denotes variables in natural logarithms.</w:t>
            </w:r>
          </w:p>
        </w:tc>
      </w:tr>
    </w:tbl>
    <w:p w14:paraId="6D120C88" w14:textId="5C4CB874" w:rsidR="006E3EC8" w:rsidRPr="00781F4C" w:rsidRDefault="006E3EC8" w:rsidP="006E3EC8">
      <w:pPr>
        <w:jc w:val="both"/>
        <w:rPr>
          <w:lang w:val="en-US"/>
        </w:rPr>
      </w:pPr>
    </w:p>
    <w:p w14:paraId="064D30AE" w14:textId="77777777" w:rsidR="00043607" w:rsidRPr="00781F4C" w:rsidRDefault="00043607" w:rsidP="006E3EC8">
      <w:pPr>
        <w:jc w:val="both"/>
        <w:rPr>
          <w:lang w:val="en-US"/>
        </w:rPr>
      </w:pPr>
    </w:p>
    <w:p w14:paraId="6877BBBC" w14:textId="61481333" w:rsidR="006E3EC8" w:rsidRPr="00781F4C" w:rsidRDefault="006223D7" w:rsidP="006223D7">
      <w:pPr>
        <w:pStyle w:val="ListParagraph"/>
        <w:ind w:left="0"/>
        <w:rPr>
          <w:b/>
          <w:bCs/>
          <w:sz w:val="22"/>
          <w:szCs w:val="22"/>
          <w:lang w:val="en-US"/>
        </w:rPr>
      </w:pPr>
      <w:r w:rsidRPr="00781F4C">
        <w:rPr>
          <w:b/>
          <w:bCs/>
          <w:sz w:val="22"/>
          <w:szCs w:val="22"/>
          <w:lang w:val="en-US"/>
        </w:rPr>
        <w:t xml:space="preserve">5. </w:t>
      </w:r>
      <w:r w:rsidR="002B39DC" w:rsidRPr="00781F4C">
        <w:rPr>
          <w:b/>
          <w:bCs/>
          <w:sz w:val="22"/>
          <w:szCs w:val="22"/>
          <w:lang w:val="en-US"/>
        </w:rPr>
        <w:t>Conclusion</w:t>
      </w:r>
      <w:r w:rsidR="006E3EC8" w:rsidRPr="00781F4C">
        <w:rPr>
          <w:b/>
          <w:bCs/>
          <w:sz w:val="22"/>
          <w:szCs w:val="22"/>
          <w:lang w:val="en-US"/>
        </w:rPr>
        <w:t xml:space="preserve"> and policy implications</w:t>
      </w:r>
    </w:p>
    <w:p w14:paraId="7AC24000" w14:textId="08594092" w:rsidR="006E3EC8" w:rsidRPr="00781F4C" w:rsidRDefault="006E3EC8" w:rsidP="006E3EC8">
      <w:pPr>
        <w:jc w:val="both"/>
        <w:rPr>
          <w:lang w:val="en-US"/>
        </w:rPr>
      </w:pPr>
    </w:p>
    <w:p w14:paraId="230FD7F7" w14:textId="423F9F6B" w:rsidR="009003D6" w:rsidRPr="00781F4C" w:rsidRDefault="00963EBE" w:rsidP="006D2EBD">
      <w:pPr>
        <w:ind w:firstLine="284"/>
        <w:jc w:val="both"/>
        <w:rPr>
          <w:sz w:val="20"/>
          <w:szCs w:val="20"/>
          <w:lang w:val="en-US"/>
        </w:rPr>
      </w:pPr>
      <w:r w:rsidRPr="00781F4C">
        <w:rPr>
          <w:sz w:val="20"/>
          <w:szCs w:val="20"/>
          <w:lang w:val="en-US"/>
        </w:rPr>
        <w:t>The aim of this study is</w:t>
      </w:r>
      <w:r w:rsidR="009003D6" w:rsidRPr="00781F4C">
        <w:rPr>
          <w:sz w:val="20"/>
          <w:szCs w:val="20"/>
          <w:lang w:val="en-US"/>
        </w:rPr>
        <w:t xml:space="preserve"> to investigate the impact of export quality and fertility rate on</w:t>
      </w:r>
      <w:r w:rsidR="00CF7A47" w:rsidRPr="00781F4C">
        <w:rPr>
          <w:sz w:val="20"/>
          <w:szCs w:val="20"/>
          <w:lang w:val="en-US"/>
        </w:rPr>
        <w:t xml:space="preserve"> the</w:t>
      </w:r>
      <w:r w:rsidR="009003D6" w:rsidRPr="00781F4C">
        <w:rPr>
          <w:sz w:val="20"/>
          <w:szCs w:val="20"/>
          <w:lang w:val="en-US"/>
        </w:rPr>
        <w:t xml:space="preserve"> ecological footprint in a panel of 20 developing Asian countries. </w:t>
      </w:r>
      <w:r w:rsidRPr="00781F4C">
        <w:rPr>
          <w:sz w:val="20"/>
          <w:szCs w:val="20"/>
          <w:lang w:val="en-US"/>
        </w:rPr>
        <w:t>For this purpose, a quantile</w:t>
      </w:r>
      <w:r w:rsidR="009003D6" w:rsidRPr="00781F4C">
        <w:rPr>
          <w:sz w:val="20"/>
          <w:szCs w:val="20"/>
          <w:lang w:val="en-US"/>
        </w:rPr>
        <w:t xml:space="preserve"> panel regression is used to identify the explanatory power of export quality and fertility rate on the ecological footprint. The study period covers 1990 to 2014 with respect to access to all data. The </w:t>
      </w:r>
      <w:r w:rsidR="00A9302C" w:rsidRPr="00781F4C">
        <w:rPr>
          <w:sz w:val="20"/>
          <w:szCs w:val="20"/>
          <w:lang w:val="en-US"/>
        </w:rPr>
        <w:t xml:space="preserve">quantile panel </w:t>
      </w:r>
      <w:r w:rsidR="009003D6" w:rsidRPr="00781F4C">
        <w:rPr>
          <w:sz w:val="20"/>
          <w:szCs w:val="20"/>
          <w:lang w:val="en-US"/>
        </w:rPr>
        <w:t xml:space="preserve">approach </w:t>
      </w:r>
      <w:r w:rsidR="00A9302C" w:rsidRPr="00781F4C">
        <w:rPr>
          <w:sz w:val="20"/>
          <w:szCs w:val="20"/>
          <w:lang w:val="en-US"/>
        </w:rPr>
        <w:t>is</w:t>
      </w:r>
      <w:r w:rsidR="009003D6" w:rsidRPr="00781F4C">
        <w:rPr>
          <w:sz w:val="20"/>
          <w:szCs w:val="20"/>
          <w:lang w:val="en-US"/>
        </w:rPr>
        <w:t xml:space="preserve"> used because the relationship between the described variable (ecological footprint) and the explanatory variables (export quality index, trade openness, GDP</w:t>
      </w:r>
      <w:r w:rsidR="00A9302C" w:rsidRPr="00781F4C">
        <w:rPr>
          <w:sz w:val="20"/>
          <w:szCs w:val="20"/>
          <w:lang w:val="en-US"/>
        </w:rPr>
        <w:t xml:space="preserve"> per capita</w:t>
      </w:r>
      <w:r w:rsidR="009003D6" w:rsidRPr="00781F4C">
        <w:rPr>
          <w:sz w:val="20"/>
          <w:szCs w:val="20"/>
          <w:lang w:val="en-US"/>
        </w:rPr>
        <w:t>, urban population as a percentage of total population</w:t>
      </w:r>
      <w:r w:rsidR="00CF7A47" w:rsidRPr="00781F4C">
        <w:rPr>
          <w:sz w:val="20"/>
          <w:szCs w:val="20"/>
          <w:lang w:val="en-US"/>
        </w:rPr>
        <w:t>,</w:t>
      </w:r>
      <w:r w:rsidR="009003D6" w:rsidRPr="00781F4C">
        <w:rPr>
          <w:sz w:val="20"/>
          <w:szCs w:val="20"/>
          <w:lang w:val="en-US"/>
        </w:rPr>
        <w:t xml:space="preserve"> and fertility rate) are nonlinear.</w:t>
      </w:r>
    </w:p>
    <w:p w14:paraId="6ED04DE2" w14:textId="19BFC1CB" w:rsidR="009003D6" w:rsidRPr="00781F4C" w:rsidRDefault="00A12518" w:rsidP="006D2EBD">
      <w:pPr>
        <w:ind w:firstLine="284"/>
        <w:jc w:val="both"/>
        <w:rPr>
          <w:sz w:val="20"/>
          <w:szCs w:val="20"/>
          <w:lang w:val="en-US"/>
        </w:rPr>
      </w:pPr>
      <w:r w:rsidRPr="00781F4C">
        <w:rPr>
          <w:sz w:val="20"/>
          <w:szCs w:val="20"/>
          <w:lang w:val="en-US"/>
        </w:rPr>
        <w:t>The quality of export products plays an important role in reducing the ecological f</w:t>
      </w:r>
      <w:r w:rsidR="00A9302C" w:rsidRPr="00781F4C">
        <w:rPr>
          <w:sz w:val="20"/>
          <w:szCs w:val="20"/>
          <w:lang w:val="en-US"/>
        </w:rPr>
        <w:t>ootprint. However, as the quantile</w:t>
      </w:r>
      <w:r w:rsidRPr="00781F4C">
        <w:rPr>
          <w:sz w:val="20"/>
          <w:szCs w:val="20"/>
          <w:lang w:val="en-US"/>
        </w:rPr>
        <w:t xml:space="preserve"> increases, the effect decreases. </w:t>
      </w:r>
      <w:r w:rsidR="009003D6" w:rsidRPr="00781F4C">
        <w:rPr>
          <w:sz w:val="20"/>
          <w:szCs w:val="20"/>
          <w:lang w:val="en-US"/>
        </w:rPr>
        <w:t xml:space="preserve">The urbanization variable reduces the ecological footprint and reduces environmental degradation for all </w:t>
      </w:r>
      <w:r w:rsidRPr="00781F4C">
        <w:rPr>
          <w:sz w:val="20"/>
          <w:szCs w:val="20"/>
          <w:lang w:val="en-US"/>
        </w:rPr>
        <w:t>quantiles</w:t>
      </w:r>
      <w:r w:rsidR="009003D6" w:rsidRPr="00781F4C">
        <w:rPr>
          <w:sz w:val="20"/>
          <w:szCs w:val="20"/>
          <w:lang w:val="en-US"/>
        </w:rPr>
        <w:t xml:space="preserve">. </w:t>
      </w:r>
      <w:r w:rsidR="00A9302C" w:rsidRPr="00781F4C">
        <w:rPr>
          <w:sz w:val="20"/>
          <w:szCs w:val="20"/>
          <w:lang w:val="en-US"/>
        </w:rPr>
        <w:t>In addition, as the quantile</w:t>
      </w:r>
      <w:r w:rsidRPr="00781F4C">
        <w:rPr>
          <w:sz w:val="20"/>
          <w:szCs w:val="20"/>
          <w:lang w:val="en-US"/>
        </w:rPr>
        <w:t xml:space="preserve"> increases, the effect becomes larger. </w:t>
      </w:r>
      <w:r w:rsidR="009003D6" w:rsidRPr="00781F4C">
        <w:rPr>
          <w:sz w:val="20"/>
          <w:szCs w:val="20"/>
          <w:lang w:val="en-US"/>
        </w:rPr>
        <w:t xml:space="preserve">GDP </w:t>
      </w:r>
      <w:r w:rsidR="00A9302C" w:rsidRPr="00781F4C">
        <w:rPr>
          <w:sz w:val="20"/>
          <w:szCs w:val="20"/>
          <w:lang w:val="en-US"/>
        </w:rPr>
        <w:t xml:space="preserve">per capita </w:t>
      </w:r>
      <w:r w:rsidR="009003D6" w:rsidRPr="00781F4C">
        <w:rPr>
          <w:sz w:val="20"/>
          <w:szCs w:val="20"/>
          <w:lang w:val="en-US"/>
        </w:rPr>
        <w:t>leads to a deterioration in the quality of the environment because they intensify the ecological footprint. However, economic growth does the most damage</w:t>
      </w:r>
      <w:r w:rsidR="00A9302C" w:rsidRPr="00781F4C">
        <w:rPr>
          <w:sz w:val="20"/>
          <w:szCs w:val="20"/>
          <w:lang w:val="en-US"/>
        </w:rPr>
        <w:t xml:space="preserve"> to the environment in the quantile 90</w:t>
      </w:r>
      <w:r w:rsidR="00A9302C" w:rsidRPr="00781F4C">
        <w:rPr>
          <w:sz w:val="20"/>
          <w:szCs w:val="20"/>
          <w:vertAlign w:val="superscript"/>
          <w:lang w:val="en-US"/>
        </w:rPr>
        <w:t>th</w:t>
      </w:r>
      <w:r w:rsidR="009003D6" w:rsidRPr="00781F4C">
        <w:rPr>
          <w:sz w:val="20"/>
          <w:szCs w:val="20"/>
          <w:lang w:val="en-US"/>
        </w:rPr>
        <w:t>.</w:t>
      </w:r>
      <w:r w:rsidRPr="00781F4C">
        <w:t xml:space="preserve"> </w:t>
      </w:r>
      <w:r w:rsidRPr="00781F4C">
        <w:rPr>
          <w:sz w:val="20"/>
          <w:szCs w:val="20"/>
          <w:lang w:val="en-US"/>
        </w:rPr>
        <w:t>Finally, the variable fertility rate improves the environment. In addition, it has th</w:t>
      </w:r>
      <w:r w:rsidR="00A9302C" w:rsidRPr="00781F4C">
        <w:rPr>
          <w:sz w:val="20"/>
          <w:szCs w:val="20"/>
          <w:lang w:val="en-US"/>
        </w:rPr>
        <w:t>e greatest effect in qua</w:t>
      </w:r>
      <w:r w:rsidR="009A04F4" w:rsidRPr="00781F4C">
        <w:rPr>
          <w:sz w:val="20"/>
          <w:szCs w:val="20"/>
          <w:lang w:val="en-US"/>
        </w:rPr>
        <w:t>ntile 10</w:t>
      </w:r>
      <w:r w:rsidR="009A04F4" w:rsidRPr="00781F4C">
        <w:rPr>
          <w:sz w:val="20"/>
          <w:szCs w:val="20"/>
          <w:vertAlign w:val="superscript"/>
          <w:lang w:val="en-US"/>
        </w:rPr>
        <w:t>th</w:t>
      </w:r>
      <w:r w:rsidRPr="00781F4C">
        <w:rPr>
          <w:sz w:val="20"/>
          <w:szCs w:val="20"/>
          <w:lang w:val="en-US"/>
        </w:rPr>
        <w:t>, so that a one percent increas</w:t>
      </w:r>
      <w:r w:rsidR="009A04F4" w:rsidRPr="00781F4C">
        <w:rPr>
          <w:sz w:val="20"/>
          <w:szCs w:val="20"/>
          <w:lang w:val="en-US"/>
        </w:rPr>
        <w:t>e in fertility rate reduces about 2.274</w:t>
      </w:r>
      <w:r w:rsidR="00A9302C" w:rsidRPr="00781F4C">
        <w:rPr>
          <w:sz w:val="20"/>
          <w:szCs w:val="20"/>
          <w:lang w:val="en-US"/>
        </w:rPr>
        <w:t xml:space="preserve"> </w:t>
      </w:r>
      <w:r w:rsidRPr="00781F4C">
        <w:rPr>
          <w:sz w:val="20"/>
          <w:szCs w:val="20"/>
          <w:lang w:val="en-US"/>
        </w:rPr>
        <w:t>percent of ecological footprint.</w:t>
      </w:r>
    </w:p>
    <w:p w14:paraId="3A19A766" w14:textId="77777777" w:rsidR="00B92528" w:rsidRPr="00781F4C" w:rsidRDefault="00B92528" w:rsidP="00A12518">
      <w:pPr>
        <w:ind w:firstLine="709"/>
        <w:jc w:val="both"/>
        <w:rPr>
          <w:sz w:val="20"/>
          <w:szCs w:val="20"/>
          <w:lang w:val="en-US"/>
        </w:rPr>
      </w:pPr>
    </w:p>
    <w:p w14:paraId="0537BA31" w14:textId="772705F1" w:rsidR="00B92528" w:rsidRPr="00781F4C" w:rsidRDefault="00B92528" w:rsidP="001D1BCC">
      <w:pPr>
        <w:ind w:firstLine="284"/>
        <w:jc w:val="both"/>
        <w:rPr>
          <w:sz w:val="20"/>
          <w:szCs w:val="20"/>
          <w:lang w:val="en-US"/>
        </w:rPr>
      </w:pPr>
      <w:r w:rsidRPr="00781F4C">
        <w:rPr>
          <w:sz w:val="20"/>
          <w:szCs w:val="20"/>
          <w:lang w:val="en-US"/>
        </w:rPr>
        <w:t>Ecological footprint shows the amount of human consumption of biological resources and waste production in different areas. Various factors affect the ecological footprint. Consumption patterns and lifestyles of individuals in a society play an important role in ecological footprint. Therefore, the people of a society should follow a</w:t>
      </w:r>
      <w:r w:rsidR="00EF7BE4">
        <w:rPr>
          <w:sz w:val="20"/>
          <w:szCs w:val="20"/>
          <w:lang w:val="en-US"/>
        </w:rPr>
        <w:t xml:space="preserve"> </w:t>
      </w:r>
      <w:r w:rsidR="00EF7BE4" w:rsidRPr="00781F4C">
        <w:rPr>
          <w:sz w:val="20"/>
          <w:szCs w:val="20"/>
          <w:lang w:val="en-US"/>
        </w:rPr>
        <w:t>commensurate</w:t>
      </w:r>
      <w:r w:rsidRPr="00781F4C">
        <w:rPr>
          <w:sz w:val="20"/>
          <w:szCs w:val="20"/>
          <w:lang w:val="en-US"/>
        </w:rPr>
        <w:t xml:space="preserve"> lifestyle with environmental sustainability. </w:t>
      </w:r>
      <w:r w:rsidR="00CE0D19" w:rsidRPr="00781F4C">
        <w:rPr>
          <w:sz w:val="20"/>
          <w:szCs w:val="20"/>
          <w:lang w:val="en-US"/>
        </w:rPr>
        <w:t>Therefore, governments should implement policy measures in line with improving the quality of the environment, for which the authorities of developing countries should pay special attention to increasing the quality of export products. In addition, policymakers in developing countries need to adopt policies to increase fertility rates to improve the environment. The results of this study show that increasing urban infrastructure also helps to improve the environment, so policies should be directed towards promoting urbanization.</w:t>
      </w:r>
    </w:p>
    <w:p w14:paraId="285D3A41" w14:textId="53B8DB41" w:rsidR="00B92528" w:rsidRPr="00781F4C" w:rsidRDefault="00B92528" w:rsidP="006D2EBD">
      <w:pPr>
        <w:ind w:firstLine="284"/>
        <w:jc w:val="both"/>
        <w:rPr>
          <w:sz w:val="20"/>
          <w:szCs w:val="20"/>
          <w:lang w:val="en-US"/>
        </w:rPr>
      </w:pPr>
      <w:r w:rsidRPr="00781F4C">
        <w:rPr>
          <w:sz w:val="20"/>
          <w:szCs w:val="20"/>
          <w:lang w:val="en-US"/>
        </w:rPr>
        <w:t>In addition to paying attention to domestic laws and policies, officials should also pay special attention to foreign policy. Go</w:t>
      </w:r>
      <w:r w:rsidR="00A9302C" w:rsidRPr="00781F4C">
        <w:rPr>
          <w:sz w:val="20"/>
          <w:szCs w:val="20"/>
          <w:lang w:val="en-US"/>
        </w:rPr>
        <w:t>vernments must move towards open</w:t>
      </w:r>
      <w:r w:rsidRPr="00781F4C">
        <w:rPr>
          <w:sz w:val="20"/>
          <w:szCs w:val="20"/>
          <w:lang w:val="en-US"/>
        </w:rPr>
        <w:t xml:space="preserve"> trade, and in this way increase the quality of their export products to increase their share of trade. In addition, use environmentally friendly technologies and renewable energy. In the studied countries, attention to</w:t>
      </w:r>
      <w:r w:rsidR="005B3BE3" w:rsidRPr="00781F4C">
        <w:rPr>
          <w:sz w:val="20"/>
          <w:szCs w:val="20"/>
          <w:lang w:val="en-US"/>
        </w:rPr>
        <w:t xml:space="preserve"> the</w:t>
      </w:r>
      <w:r w:rsidRPr="00781F4C">
        <w:rPr>
          <w:sz w:val="20"/>
          <w:szCs w:val="20"/>
          <w:lang w:val="en-US"/>
        </w:rPr>
        <w:t xml:space="preserve"> fertility rate is also very important for environmental sustainability.</w:t>
      </w:r>
    </w:p>
    <w:p w14:paraId="6C8ABA43" w14:textId="77777777" w:rsidR="00D32B36" w:rsidRPr="00781F4C" w:rsidRDefault="00D32B36" w:rsidP="00A12518">
      <w:pPr>
        <w:ind w:firstLine="709"/>
        <w:jc w:val="both"/>
        <w:rPr>
          <w:sz w:val="20"/>
          <w:szCs w:val="20"/>
          <w:lang w:val="en-US"/>
        </w:rPr>
      </w:pPr>
    </w:p>
    <w:p w14:paraId="21189C3F" w14:textId="2D899593" w:rsidR="00D32B36" w:rsidRPr="00781F4C" w:rsidRDefault="00D32B36" w:rsidP="00D32B36">
      <w:pPr>
        <w:keepNext/>
        <w:jc w:val="both"/>
        <w:rPr>
          <w:b/>
          <w:bCs/>
          <w:sz w:val="20"/>
          <w:szCs w:val="20"/>
          <w:lang w:val="en-US"/>
        </w:rPr>
      </w:pPr>
      <w:r w:rsidRPr="00781F4C">
        <w:rPr>
          <w:b/>
          <w:bCs/>
          <w:sz w:val="20"/>
          <w:szCs w:val="20"/>
          <w:lang w:val="en-US"/>
        </w:rPr>
        <w:t>Statements and Declarations</w:t>
      </w:r>
    </w:p>
    <w:p w14:paraId="713C02A4" w14:textId="77777777" w:rsidR="00651FF3" w:rsidRPr="00781F4C" w:rsidRDefault="00651FF3" w:rsidP="00D32B36">
      <w:pPr>
        <w:keepNext/>
        <w:jc w:val="both"/>
        <w:rPr>
          <w:b/>
          <w:bCs/>
          <w:sz w:val="20"/>
          <w:szCs w:val="20"/>
          <w:lang w:val="en-US"/>
        </w:rPr>
      </w:pPr>
    </w:p>
    <w:p w14:paraId="3D047CF5" w14:textId="77777777" w:rsidR="00651FF3" w:rsidRPr="00781F4C" w:rsidRDefault="00651FF3" w:rsidP="00651FF3">
      <w:pPr>
        <w:spacing w:after="160" w:line="259" w:lineRule="auto"/>
        <w:jc w:val="both"/>
        <w:rPr>
          <w:rFonts w:eastAsia="Calibri"/>
          <w:sz w:val="20"/>
          <w:szCs w:val="20"/>
          <w:lang w:val="en-US" w:eastAsia="en-US" w:bidi="fa-IR"/>
        </w:rPr>
      </w:pPr>
      <w:r w:rsidRPr="00781F4C">
        <w:rPr>
          <w:rFonts w:eastAsia="Calibri"/>
          <w:b/>
          <w:bCs/>
          <w:sz w:val="20"/>
          <w:szCs w:val="20"/>
          <w:lang w:val="en-US" w:eastAsia="en-US" w:bidi="fa-IR"/>
        </w:rPr>
        <w:t>Competing interest:</w:t>
      </w:r>
      <w:r w:rsidRPr="00781F4C">
        <w:rPr>
          <w:rFonts w:eastAsia="Calibri"/>
          <w:sz w:val="20"/>
          <w:szCs w:val="20"/>
          <w:lang w:val="en-US" w:eastAsia="en-US" w:bidi="fa-IR"/>
        </w:rPr>
        <w:t xml:space="preserve"> The authors declare that they have no competing interests.</w:t>
      </w:r>
    </w:p>
    <w:p w14:paraId="51338F63" w14:textId="4210B2D7" w:rsidR="00651FF3" w:rsidRPr="00781F4C" w:rsidRDefault="00651FF3" w:rsidP="00651FF3">
      <w:pPr>
        <w:jc w:val="both"/>
        <w:rPr>
          <w:b/>
          <w:bCs/>
          <w:sz w:val="20"/>
          <w:szCs w:val="20"/>
        </w:rPr>
      </w:pPr>
    </w:p>
    <w:p w14:paraId="6DC5B2CB" w14:textId="77777777" w:rsidR="00651FF3" w:rsidRPr="00781F4C" w:rsidRDefault="00651FF3" w:rsidP="00D32B36">
      <w:pPr>
        <w:keepNext/>
        <w:jc w:val="both"/>
        <w:rPr>
          <w:b/>
          <w:bCs/>
          <w:sz w:val="20"/>
          <w:szCs w:val="20"/>
          <w:lang w:val="en-US"/>
        </w:rPr>
      </w:pPr>
    </w:p>
    <w:p w14:paraId="692E891D" w14:textId="77777777" w:rsidR="00B92528" w:rsidRPr="00781F4C" w:rsidRDefault="00B92528" w:rsidP="00A12518">
      <w:pPr>
        <w:ind w:firstLine="709"/>
        <w:jc w:val="both"/>
        <w:rPr>
          <w:sz w:val="20"/>
          <w:szCs w:val="20"/>
          <w:lang w:val="en-US"/>
        </w:rPr>
      </w:pPr>
    </w:p>
    <w:p w14:paraId="47D720CF" w14:textId="77777777" w:rsidR="000A14A1" w:rsidRPr="00781F4C" w:rsidRDefault="000A14A1" w:rsidP="008E1AEA">
      <w:pPr>
        <w:keepNext/>
        <w:jc w:val="both"/>
        <w:rPr>
          <w:b/>
          <w:bCs/>
          <w:sz w:val="22"/>
          <w:szCs w:val="22"/>
          <w:lang w:val="en-US"/>
        </w:rPr>
      </w:pPr>
      <w:r w:rsidRPr="00781F4C">
        <w:rPr>
          <w:b/>
          <w:bCs/>
          <w:sz w:val="22"/>
          <w:szCs w:val="22"/>
          <w:lang w:val="en-US"/>
        </w:rPr>
        <w:lastRenderedPageBreak/>
        <w:t xml:space="preserve">References </w:t>
      </w:r>
    </w:p>
    <w:p w14:paraId="231289C1" w14:textId="77777777" w:rsidR="00295008" w:rsidRPr="00781F4C" w:rsidRDefault="00295008" w:rsidP="008E1AEA">
      <w:pPr>
        <w:keepNext/>
        <w:jc w:val="both"/>
        <w:rPr>
          <w:sz w:val="20"/>
          <w:szCs w:val="20"/>
          <w:lang w:val="en-US"/>
        </w:rPr>
      </w:pPr>
    </w:p>
    <w:p w14:paraId="193B81D0" w14:textId="2BB4797C" w:rsidR="00295008" w:rsidRPr="00781F4C" w:rsidRDefault="00515DF6" w:rsidP="00B71320">
      <w:pPr>
        <w:spacing w:before="120"/>
        <w:ind w:left="284" w:hanging="284"/>
        <w:jc w:val="both"/>
        <w:rPr>
          <w:rFonts w:asciiTheme="majorBidi" w:hAnsiTheme="majorBidi" w:cstheme="majorBidi"/>
          <w:sz w:val="18"/>
          <w:szCs w:val="18"/>
          <w:lang w:val="en-US"/>
        </w:rPr>
      </w:pPr>
      <w:r w:rsidRPr="00781F4C">
        <w:rPr>
          <w:rFonts w:asciiTheme="majorBidi" w:hAnsiTheme="majorBidi" w:cstheme="majorBidi"/>
          <w:sz w:val="18"/>
          <w:szCs w:val="18"/>
          <w:lang w:val="en-US"/>
        </w:rPr>
        <w:t>Ahmed K</w:t>
      </w:r>
      <w:r w:rsidR="00B65736"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Shahbaz M</w:t>
      </w:r>
      <w:r w:rsidR="00B65736"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xml:space="preserve">, </w:t>
      </w:r>
      <w:proofErr w:type="spellStart"/>
      <w:r w:rsidRPr="00781F4C">
        <w:rPr>
          <w:rFonts w:asciiTheme="majorBidi" w:hAnsiTheme="majorBidi" w:cstheme="majorBidi"/>
          <w:sz w:val="18"/>
          <w:szCs w:val="18"/>
          <w:lang w:val="en-US"/>
        </w:rPr>
        <w:t>Kyophilavong</w:t>
      </w:r>
      <w:proofErr w:type="spellEnd"/>
      <w:r w:rsidRPr="00781F4C">
        <w:rPr>
          <w:rFonts w:asciiTheme="majorBidi" w:hAnsiTheme="majorBidi" w:cstheme="majorBidi"/>
          <w:sz w:val="18"/>
          <w:szCs w:val="18"/>
          <w:lang w:val="en-US"/>
        </w:rPr>
        <w:t xml:space="preserve"> P</w:t>
      </w:r>
      <w:r w:rsidR="00B65736"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xml:space="preserve"> (2016)</w:t>
      </w:r>
      <w:r w:rsidR="00B65736" w:rsidRPr="00781F4C">
        <w:rPr>
          <w:rFonts w:asciiTheme="majorBidi" w:hAnsiTheme="majorBidi" w:cstheme="majorBidi"/>
          <w:sz w:val="18"/>
          <w:szCs w:val="18"/>
          <w:lang w:val="en-US"/>
        </w:rPr>
        <w:t>.</w:t>
      </w:r>
      <w:r w:rsidR="00295008" w:rsidRPr="00781F4C">
        <w:rPr>
          <w:rFonts w:asciiTheme="majorBidi" w:hAnsiTheme="majorBidi" w:cstheme="majorBidi"/>
          <w:sz w:val="18"/>
          <w:szCs w:val="18"/>
          <w:lang w:val="en-US"/>
        </w:rPr>
        <w:t xml:space="preserve"> Revisiting the emissions-energy-trade nexus: evidence from the newly industrializing countries. </w:t>
      </w:r>
      <w:r w:rsidR="00295008" w:rsidRPr="00781F4C">
        <w:rPr>
          <w:rFonts w:asciiTheme="majorBidi" w:hAnsiTheme="majorBidi" w:cstheme="majorBidi"/>
          <w:i/>
          <w:iCs/>
          <w:sz w:val="18"/>
          <w:szCs w:val="18"/>
          <w:lang w:val="en-US"/>
        </w:rPr>
        <w:t>Environmental</w:t>
      </w:r>
      <w:r w:rsidR="00163BAE" w:rsidRPr="00781F4C">
        <w:rPr>
          <w:rFonts w:asciiTheme="majorBidi" w:hAnsiTheme="majorBidi" w:cstheme="majorBidi"/>
          <w:i/>
          <w:iCs/>
          <w:sz w:val="18"/>
          <w:szCs w:val="18"/>
          <w:lang w:val="en-US"/>
        </w:rPr>
        <w:t xml:space="preserve"> Science and Pollution Research</w:t>
      </w:r>
      <w:r w:rsidR="00B65736" w:rsidRPr="00781F4C">
        <w:rPr>
          <w:rFonts w:asciiTheme="majorBidi" w:hAnsiTheme="majorBidi" w:cstheme="majorBidi"/>
          <w:sz w:val="18"/>
          <w:szCs w:val="18"/>
          <w:lang w:val="en-US"/>
        </w:rPr>
        <w:t>,</w:t>
      </w:r>
      <w:r w:rsidR="00163BAE" w:rsidRPr="00781F4C">
        <w:rPr>
          <w:rFonts w:asciiTheme="majorBidi" w:hAnsiTheme="majorBidi" w:cstheme="majorBidi"/>
          <w:sz w:val="18"/>
          <w:szCs w:val="18"/>
          <w:lang w:val="en-US"/>
        </w:rPr>
        <w:t xml:space="preserve"> 23(8):</w:t>
      </w:r>
      <w:r w:rsidR="00B65736" w:rsidRPr="00781F4C">
        <w:rPr>
          <w:rFonts w:asciiTheme="majorBidi" w:hAnsiTheme="majorBidi" w:cstheme="majorBidi"/>
          <w:sz w:val="18"/>
          <w:szCs w:val="18"/>
          <w:lang w:val="en-US"/>
        </w:rPr>
        <w:t xml:space="preserve"> </w:t>
      </w:r>
      <w:r w:rsidR="00295008" w:rsidRPr="00781F4C">
        <w:rPr>
          <w:rFonts w:asciiTheme="majorBidi" w:hAnsiTheme="majorBidi" w:cstheme="majorBidi"/>
          <w:sz w:val="18"/>
          <w:szCs w:val="18"/>
          <w:lang w:val="en-US"/>
        </w:rPr>
        <w:t>7676-7691. DOI</w:t>
      </w:r>
      <w:r w:rsidR="00163BAE" w:rsidRPr="00781F4C">
        <w:rPr>
          <w:rFonts w:asciiTheme="majorBidi" w:hAnsiTheme="majorBidi" w:cstheme="majorBidi"/>
          <w:sz w:val="18"/>
          <w:szCs w:val="18"/>
          <w:lang w:val="en-US"/>
        </w:rPr>
        <w:t xml:space="preserve"> 7610.1007/s11356-11015-16018-x</w:t>
      </w:r>
      <w:r w:rsidR="00EF7BE4">
        <w:rPr>
          <w:rFonts w:asciiTheme="majorBidi" w:hAnsiTheme="majorBidi" w:cstheme="majorBidi"/>
          <w:sz w:val="18"/>
          <w:szCs w:val="18"/>
          <w:lang w:val="en-US"/>
        </w:rPr>
        <w:t>.</w:t>
      </w:r>
    </w:p>
    <w:p w14:paraId="638942A6" w14:textId="45A551D4" w:rsidR="00814DF5" w:rsidRPr="00781F4C" w:rsidRDefault="00163BAE" w:rsidP="00B71320">
      <w:pPr>
        <w:spacing w:before="120"/>
        <w:ind w:left="284" w:hanging="284"/>
        <w:jc w:val="both"/>
        <w:rPr>
          <w:rFonts w:asciiTheme="majorBidi" w:hAnsiTheme="majorBidi" w:cstheme="majorBidi"/>
          <w:sz w:val="18"/>
          <w:szCs w:val="18"/>
          <w:lang w:val="en-US"/>
        </w:rPr>
      </w:pPr>
      <w:r w:rsidRPr="00781F4C">
        <w:rPr>
          <w:rFonts w:asciiTheme="majorBidi" w:hAnsiTheme="majorBidi" w:cstheme="majorBidi"/>
          <w:sz w:val="18"/>
          <w:szCs w:val="18"/>
          <w:lang w:val="en-US"/>
        </w:rPr>
        <w:t>Albulescu C</w:t>
      </w:r>
      <w:r w:rsidR="00F25B58"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Tiwari A</w:t>
      </w:r>
      <w:r w:rsidR="00F25B58"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K</w:t>
      </w:r>
      <w:r w:rsidR="00F25B58"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Yoon S</w:t>
      </w:r>
      <w:r w:rsidR="00F25B58"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M</w:t>
      </w:r>
      <w:r w:rsidR="00F25B58"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Kang S</w:t>
      </w:r>
      <w:r w:rsidR="00F25B58"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H</w:t>
      </w:r>
      <w:r w:rsidR="00F25B58"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xml:space="preserve"> (2019)</w:t>
      </w:r>
      <w:r w:rsidR="00F25B58" w:rsidRPr="00781F4C">
        <w:rPr>
          <w:rFonts w:asciiTheme="majorBidi" w:hAnsiTheme="majorBidi" w:cstheme="majorBidi"/>
          <w:sz w:val="18"/>
          <w:szCs w:val="18"/>
          <w:lang w:val="en-US"/>
        </w:rPr>
        <w:t>.</w:t>
      </w:r>
      <w:r w:rsidR="00814DF5" w:rsidRPr="00781F4C">
        <w:rPr>
          <w:rFonts w:asciiTheme="majorBidi" w:hAnsiTheme="majorBidi" w:cstheme="majorBidi"/>
          <w:sz w:val="18"/>
          <w:szCs w:val="18"/>
          <w:lang w:val="en-US"/>
        </w:rPr>
        <w:t xml:space="preserve"> FDI, income, and environmental pollution in Latin America: Replication and extension using panel quantiles regression analysis. </w:t>
      </w:r>
      <w:r w:rsidR="00814DF5" w:rsidRPr="00781F4C">
        <w:rPr>
          <w:rFonts w:asciiTheme="majorBidi" w:hAnsiTheme="majorBidi" w:cstheme="majorBidi"/>
          <w:i/>
          <w:iCs/>
          <w:sz w:val="18"/>
          <w:szCs w:val="18"/>
          <w:lang w:val="en-US"/>
        </w:rPr>
        <w:t>Energy Econ</w:t>
      </w:r>
      <w:r w:rsidR="00F25B58" w:rsidRPr="00781F4C">
        <w:rPr>
          <w:rFonts w:asciiTheme="majorBidi" w:hAnsiTheme="majorBidi" w:cstheme="majorBidi"/>
          <w:i/>
          <w:iCs/>
          <w:sz w:val="18"/>
          <w:szCs w:val="18"/>
          <w:lang w:val="en-US"/>
        </w:rPr>
        <w:t>,</w:t>
      </w:r>
      <w:r w:rsidRPr="00781F4C">
        <w:rPr>
          <w:rFonts w:asciiTheme="majorBidi" w:hAnsiTheme="majorBidi" w:cstheme="majorBidi"/>
          <w:sz w:val="18"/>
          <w:szCs w:val="18"/>
          <w:lang w:val="en-US"/>
        </w:rPr>
        <w:t xml:space="preserve"> 84:</w:t>
      </w:r>
      <w:r w:rsidR="00814DF5" w:rsidRPr="00781F4C">
        <w:rPr>
          <w:rFonts w:asciiTheme="majorBidi" w:hAnsiTheme="majorBidi" w:cstheme="majorBidi"/>
          <w:sz w:val="18"/>
          <w:szCs w:val="18"/>
          <w:lang w:val="en-US"/>
        </w:rPr>
        <w:t>104504.</w:t>
      </w:r>
      <w:r w:rsidR="00814DF5" w:rsidRPr="00781F4C">
        <w:rPr>
          <w:rFonts w:asciiTheme="majorBidi" w:eastAsia="Calibri" w:hAnsiTheme="majorBidi" w:cstheme="majorBidi"/>
          <w:sz w:val="18"/>
          <w:szCs w:val="18"/>
          <w:lang w:val="en-US" w:eastAsia="en-US"/>
        </w:rPr>
        <w:t xml:space="preserve"> </w:t>
      </w:r>
      <w:hyperlink r:id="rId8" w:tgtFrame="_blank" w:tooltip="Persistent link using digital object identifier" w:history="1">
        <w:r w:rsidR="00814DF5" w:rsidRPr="00781F4C">
          <w:rPr>
            <w:rFonts w:asciiTheme="majorBidi" w:hAnsiTheme="majorBidi" w:cstheme="majorBidi"/>
            <w:sz w:val="18"/>
            <w:szCs w:val="18"/>
            <w:lang w:val="en-US"/>
          </w:rPr>
          <w:t>https://doi.org/10.1016/j.eneco.2019.104504</w:t>
        </w:r>
      </w:hyperlink>
      <w:r w:rsidR="00EF7BE4">
        <w:rPr>
          <w:rFonts w:asciiTheme="majorBidi" w:hAnsiTheme="majorBidi" w:cstheme="majorBidi"/>
          <w:sz w:val="18"/>
          <w:szCs w:val="18"/>
          <w:lang w:val="en-US"/>
        </w:rPr>
        <w:t>.</w:t>
      </w:r>
    </w:p>
    <w:p w14:paraId="02BB3913" w14:textId="0AFD333A" w:rsidR="00814DF5" w:rsidRPr="00781F4C" w:rsidRDefault="00163BAE" w:rsidP="00B71320">
      <w:pPr>
        <w:spacing w:before="120"/>
        <w:ind w:left="284" w:hanging="284"/>
        <w:jc w:val="both"/>
        <w:rPr>
          <w:rFonts w:asciiTheme="majorBidi" w:hAnsiTheme="majorBidi" w:cstheme="majorBidi"/>
          <w:sz w:val="18"/>
          <w:szCs w:val="18"/>
          <w:lang w:val="en-US"/>
        </w:rPr>
      </w:pPr>
      <w:r w:rsidRPr="00781F4C">
        <w:rPr>
          <w:rFonts w:asciiTheme="majorBidi" w:hAnsiTheme="majorBidi" w:cstheme="majorBidi"/>
          <w:sz w:val="18"/>
          <w:szCs w:val="18"/>
          <w:lang w:val="en-US"/>
        </w:rPr>
        <w:t>Ali S</w:t>
      </w:r>
      <w:r w:rsidR="00FD108F"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Yusop Z</w:t>
      </w:r>
      <w:r w:rsidR="00FD108F"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Kaliappan SR</w:t>
      </w:r>
      <w:r w:rsidR="00FD108F"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Chin L</w:t>
      </w:r>
      <w:r w:rsidR="00FD108F"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xml:space="preserve"> (2020)</w:t>
      </w:r>
      <w:r w:rsidR="00FD108F" w:rsidRPr="00781F4C">
        <w:rPr>
          <w:rFonts w:asciiTheme="majorBidi" w:hAnsiTheme="majorBidi" w:cstheme="majorBidi"/>
          <w:sz w:val="18"/>
          <w:szCs w:val="18"/>
          <w:lang w:val="en-US"/>
        </w:rPr>
        <w:t>.</w:t>
      </w:r>
      <w:r w:rsidR="00814DF5" w:rsidRPr="00781F4C">
        <w:rPr>
          <w:rFonts w:asciiTheme="majorBidi" w:hAnsiTheme="majorBidi" w:cstheme="majorBidi"/>
          <w:sz w:val="18"/>
          <w:szCs w:val="18"/>
          <w:lang w:val="en-US"/>
        </w:rPr>
        <w:t xml:space="preserve"> Dynamic common correlated effects of trade openness, FDI, and institutional performance on environmental quality: evidence from OIC countries. </w:t>
      </w:r>
      <w:r w:rsidR="00814DF5" w:rsidRPr="00781F4C">
        <w:rPr>
          <w:rFonts w:asciiTheme="majorBidi" w:hAnsiTheme="majorBidi" w:cstheme="majorBidi"/>
          <w:i/>
          <w:iCs/>
          <w:sz w:val="18"/>
          <w:szCs w:val="18"/>
          <w:lang w:val="en-US"/>
        </w:rPr>
        <w:t>Environmental Science and Pollution R</w:t>
      </w:r>
      <w:r w:rsidRPr="00781F4C">
        <w:rPr>
          <w:rFonts w:asciiTheme="majorBidi" w:hAnsiTheme="majorBidi" w:cstheme="majorBidi"/>
          <w:i/>
          <w:iCs/>
          <w:sz w:val="18"/>
          <w:szCs w:val="18"/>
          <w:lang w:val="en-US"/>
        </w:rPr>
        <w:t>esearch</w:t>
      </w:r>
      <w:r w:rsidR="00FD108F" w:rsidRPr="00781F4C">
        <w:rPr>
          <w:rFonts w:asciiTheme="majorBidi" w:hAnsiTheme="majorBidi" w:cstheme="majorBidi"/>
          <w:sz w:val="18"/>
          <w:szCs w:val="18"/>
          <w:lang w:val="en-US"/>
        </w:rPr>
        <w:t xml:space="preserve">, </w:t>
      </w:r>
      <w:r w:rsidR="00814DF5" w:rsidRPr="00781F4C">
        <w:rPr>
          <w:rFonts w:asciiTheme="majorBidi" w:hAnsiTheme="majorBidi" w:cstheme="majorBidi"/>
          <w:sz w:val="18"/>
          <w:szCs w:val="18"/>
          <w:lang w:val="en-US"/>
        </w:rPr>
        <w:t>1-12. https://doi.org/10.</w:t>
      </w:r>
      <w:r w:rsidR="000D143F" w:rsidRPr="00781F4C">
        <w:rPr>
          <w:rFonts w:asciiTheme="majorBidi" w:hAnsiTheme="majorBidi" w:cstheme="majorBidi"/>
          <w:sz w:val="18"/>
          <w:szCs w:val="18"/>
          <w:lang w:val="en-US"/>
        </w:rPr>
        <w:t>1007/s11356-11020-07768-11357.</w:t>
      </w:r>
    </w:p>
    <w:p w14:paraId="44D445B7" w14:textId="4CB7C598" w:rsidR="00814DF5" w:rsidRPr="00781F4C" w:rsidRDefault="00163BAE" w:rsidP="00B71320">
      <w:pPr>
        <w:spacing w:before="120"/>
        <w:ind w:left="284" w:hanging="284"/>
        <w:jc w:val="both"/>
        <w:rPr>
          <w:rFonts w:asciiTheme="majorBidi" w:hAnsiTheme="majorBidi" w:cstheme="majorBidi"/>
          <w:sz w:val="18"/>
          <w:szCs w:val="18"/>
          <w:lang w:val="en-US"/>
        </w:rPr>
      </w:pPr>
      <w:r w:rsidRPr="00781F4C">
        <w:rPr>
          <w:rFonts w:asciiTheme="majorBidi" w:hAnsiTheme="majorBidi" w:cstheme="majorBidi"/>
          <w:sz w:val="18"/>
          <w:szCs w:val="18"/>
          <w:lang w:val="en-US"/>
        </w:rPr>
        <w:t>Al-</w:t>
      </w:r>
      <w:proofErr w:type="spellStart"/>
      <w:r w:rsidRPr="00781F4C">
        <w:rPr>
          <w:rFonts w:asciiTheme="majorBidi" w:hAnsiTheme="majorBidi" w:cstheme="majorBidi"/>
          <w:sz w:val="18"/>
          <w:szCs w:val="18"/>
          <w:lang w:val="en-US"/>
        </w:rPr>
        <w:t>Mulali</w:t>
      </w:r>
      <w:proofErr w:type="spellEnd"/>
      <w:r w:rsidR="00FB7B38" w:rsidRPr="00781F4C">
        <w:rPr>
          <w:rFonts w:asciiTheme="majorBidi" w:hAnsiTheme="majorBidi" w:cstheme="majorBidi"/>
          <w:sz w:val="18"/>
          <w:szCs w:val="18"/>
          <w:lang w:val="en-US"/>
        </w:rPr>
        <w:t xml:space="preserve"> U</w:t>
      </w:r>
      <w:r w:rsidR="00FD108F" w:rsidRPr="00781F4C">
        <w:rPr>
          <w:rFonts w:asciiTheme="majorBidi" w:hAnsiTheme="majorBidi" w:cstheme="majorBidi"/>
          <w:sz w:val="18"/>
          <w:szCs w:val="18"/>
          <w:lang w:val="en-US"/>
        </w:rPr>
        <w:t>.</w:t>
      </w:r>
      <w:r w:rsidR="00FB7B38" w:rsidRPr="00781F4C">
        <w:rPr>
          <w:rFonts w:asciiTheme="majorBidi" w:hAnsiTheme="majorBidi" w:cstheme="majorBidi"/>
          <w:sz w:val="18"/>
          <w:szCs w:val="18"/>
          <w:lang w:val="en-US"/>
        </w:rPr>
        <w:t>, Ozturk I</w:t>
      </w:r>
      <w:r w:rsidR="00FD108F" w:rsidRPr="00781F4C">
        <w:rPr>
          <w:rFonts w:asciiTheme="majorBidi" w:hAnsiTheme="majorBidi" w:cstheme="majorBidi"/>
          <w:sz w:val="18"/>
          <w:szCs w:val="18"/>
          <w:lang w:val="en-US"/>
        </w:rPr>
        <w:t>.</w:t>
      </w:r>
      <w:r w:rsidR="00FB7B38" w:rsidRPr="00781F4C">
        <w:rPr>
          <w:rFonts w:asciiTheme="majorBidi" w:hAnsiTheme="majorBidi" w:cstheme="majorBidi"/>
          <w:sz w:val="18"/>
          <w:szCs w:val="18"/>
          <w:lang w:val="en-US"/>
        </w:rPr>
        <w:t xml:space="preserve"> (2016)</w:t>
      </w:r>
      <w:r w:rsidR="00FD108F" w:rsidRPr="00781F4C">
        <w:rPr>
          <w:rFonts w:asciiTheme="majorBidi" w:hAnsiTheme="majorBidi" w:cstheme="majorBidi"/>
          <w:sz w:val="18"/>
          <w:szCs w:val="18"/>
          <w:lang w:val="en-US"/>
        </w:rPr>
        <w:t>.</w:t>
      </w:r>
      <w:r w:rsidR="00814DF5" w:rsidRPr="00781F4C">
        <w:rPr>
          <w:rFonts w:asciiTheme="majorBidi" w:hAnsiTheme="majorBidi" w:cstheme="majorBidi"/>
          <w:sz w:val="18"/>
          <w:szCs w:val="18"/>
          <w:lang w:val="en-US"/>
        </w:rPr>
        <w:t xml:space="preserve"> The investigation of environmental Kuznets curve hypothesis in the advanced economies: the role of energy prices. </w:t>
      </w:r>
      <w:r w:rsidR="00814DF5" w:rsidRPr="00781F4C">
        <w:rPr>
          <w:rFonts w:asciiTheme="majorBidi" w:hAnsiTheme="majorBidi" w:cstheme="majorBidi"/>
          <w:i/>
          <w:sz w:val="18"/>
          <w:szCs w:val="18"/>
          <w:lang w:val="en-US"/>
        </w:rPr>
        <w:t>Renewable and Sustainable Energy Reviews</w:t>
      </w:r>
      <w:r w:rsidR="00FD108F" w:rsidRPr="00781F4C">
        <w:rPr>
          <w:rFonts w:asciiTheme="majorBidi" w:hAnsiTheme="majorBidi" w:cstheme="majorBidi"/>
          <w:i/>
          <w:sz w:val="18"/>
          <w:szCs w:val="18"/>
          <w:lang w:val="en-US"/>
        </w:rPr>
        <w:t>,</w:t>
      </w:r>
      <w:r w:rsidR="00814DF5" w:rsidRPr="00781F4C">
        <w:rPr>
          <w:rFonts w:asciiTheme="majorBidi" w:hAnsiTheme="majorBidi" w:cstheme="majorBidi"/>
          <w:i/>
          <w:sz w:val="18"/>
          <w:szCs w:val="18"/>
          <w:lang w:val="en-US"/>
        </w:rPr>
        <w:t xml:space="preserve"> 54</w:t>
      </w:r>
      <w:r w:rsidR="00FB7B38" w:rsidRPr="00781F4C">
        <w:rPr>
          <w:rFonts w:asciiTheme="majorBidi" w:hAnsiTheme="majorBidi" w:cstheme="majorBidi"/>
          <w:sz w:val="18"/>
          <w:szCs w:val="18"/>
          <w:lang w:val="en-US"/>
        </w:rPr>
        <w:t>:</w:t>
      </w:r>
      <w:r w:rsidR="00814DF5" w:rsidRPr="00781F4C">
        <w:rPr>
          <w:rFonts w:asciiTheme="majorBidi" w:hAnsiTheme="majorBidi" w:cstheme="majorBidi"/>
          <w:sz w:val="18"/>
          <w:szCs w:val="18"/>
          <w:lang w:val="en-US"/>
        </w:rPr>
        <w:t xml:space="preserve">1622-1631. </w:t>
      </w:r>
      <w:hyperlink r:id="rId9" w:history="1">
        <w:r w:rsidR="00814DF5" w:rsidRPr="00781F4C">
          <w:rPr>
            <w:rStyle w:val="Hyperlink"/>
            <w:rFonts w:asciiTheme="majorBidi" w:hAnsiTheme="majorBidi" w:cstheme="majorBidi"/>
            <w:color w:val="auto"/>
            <w:sz w:val="18"/>
            <w:szCs w:val="18"/>
            <w:u w:val="none"/>
            <w:lang w:val="en-US"/>
          </w:rPr>
          <w:t>https://doi.org/1610.1016/j.rser.2015.1610.1131</w:t>
        </w:r>
      </w:hyperlink>
      <w:r w:rsidR="00814DF5" w:rsidRPr="00781F4C">
        <w:rPr>
          <w:rFonts w:asciiTheme="majorBidi" w:hAnsiTheme="majorBidi" w:cstheme="majorBidi"/>
          <w:sz w:val="18"/>
          <w:szCs w:val="18"/>
          <w:lang w:val="en-US"/>
        </w:rPr>
        <w:t>.</w:t>
      </w:r>
    </w:p>
    <w:p w14:paraId="7366ABA8" w14:textId="79E850FF" w:rsidR="00814DF5" w:rsidRPr="00781F4C" w:rsidRDefault="00FB7B38" w:rsidP="00B71320">
      <w:pPr>
        <w:spacing w:before="120"/>
        <w:ind w:left="284" w:hanging="284"/>
        <w:jc w:val="both"/>
        <w:rPr>
          <w:rFonts w:asciiTheme="majorBidi" w:hAnsiTheme="majorBidi" w:cstheme="majorBidi"/>
          <w:sz w:val="18"/>
          <w:szCs w:val="18"/>
          <w:lang w:val="en-US"/>
        </w:rPr>
      </w:pPr>
      <w:r w:rsidRPr="00A2422B">
        <w:rPr>
          <w:rFonts w:asciiTheme="majorBidi" w:hAnsiTheme="majorBidi" w:cstheme="majorBidi"/>
          <w:sz w:val="18"/>
          <w:szCs w:val="18"/>
          <w:lang w:val="it-IT"/>
        </w:rPr>
        <w:t>Al-Mulali U</w:t>
      </w:r>
      <w:r w:rsidR="00FD108F" w:rsidRPr="00A2422B">
        <w:rPr>
          <w:rFonts w:asciiTheme="majorBidi" w:hAnsiTheme="majorBidi" w:cstheme="majorBidi"/>
          <w:sz w:val="18"/>
          <w:szCs w:val="18"/>
          <w:lang w:val="it-IT"/>
        </w:rPr>
        <w:t>.</w:t>
      </w:r>
      <w:r w:rsidRPr="00A2422B">
        <w:rPr>
          <w:rFonts w:asciiTheme="majorBidi" w:hAnsiTheme="majorBidi" w:cstheme="majorBidi"/>
          <w:sz w:val="18"/>
          <w:szCs w:val="18"/>
          <w:lang w:val="it-IT"/>
        </w:rPr>
        <w:t>, Solarin SA</w:t>
      </w:r>
      <w:r w:rsidR="00FD108F" w:rsidRPr="00A2422B">
        <w:rPr>
          <w:rFonts w:asciiTheme="majorBidi" w:hAnsiTheme="majorBidi" w:cstheme="majorBidi"/>
          <w:sz w:val="18"/>
          <w:szCs w:val="18"/>
          <w:lang w:val="it-IT"/>
        </w:rPr>
        <w:t>.</w:t>
      </w:r>
      <w:r w:rsidRPr="00A2422B">
        <w:rPr>
          <w:rFonts w:asciiTheme="majorBidi" w:hAnsiTheme="majorBidi" w:cstheme="majorBidi"/>
          <w:sz w:val="18"/>
          <w:szCs w:val="18"/>
          <w:lang w:val="it-IT"/>
        </w:rPr>
        <w:t>, Sheau-Ting L</w:t>
      </w:r>
      <w:r w:rsidR="00FD108F" w:rsidRPr="00A2422B">
        <w:rPr>
          <w:rFonts w:asciiTheme="majorBidi" w:hAnsiTheme="majorBidi" w:cstheme="majorBidi"/>
          <w:sz w:val="18"/>
          <w:szCs w:val="18"/>
          <w:lang w:val="it-IT"/>
        </w:rPr>
        <w:t>.</w:t>
      </w:r>
      <w:r w:rsidRPr="00A2422B">
        <w:rPr>
          <w:rFonts w:asciiTheme="majorBidi" w:hAnsiTheme="majorBidi" w:cstheme="majorBidi"/>
          <w:sz w:val="18"/>
          <w:szCs w:val="18"/>
          <w:lang w:val="it-IT"/>
        </w:rPr>
        <w:t>, Ozturk I</w:t>
      </w:r>
      <w:r w:rsidR="00FD108F" w:rsidRPr="00A2422B">
        <w:rPr>
          <w:rFonts w:asciiTheme="majorBidi" w:hAnsiTheme="majorBidi" w:cstheme="majorBidi"/>
          <w:sz w:val="18"/>
          <w:szCs w:val="18"/>
          <w:lang w:val="it-IT"/>
        </w:rPr>
        <w:t>.</w:t>
      </w:r>
      <w:r w:rsidRPr="00A2422B">
        <w:rPr>
          <w:rFonts w:asciiTheme="majorBidi" w:hAnsiTheme="majorBidi" w:cstheme="majorBidi"/>
          <w:sz w:val="18"/>
          <w:szCs w:val="18"/>
          <w:lang w:val="it-IT"/>
        </w:rPr>
        <w:t xml:space="preserve"> (2016)</w:t>
      </w:r>
      <w:r w:rsidR="00FD108F" w:rsidRPr="00A2422B">
        <w:rPr>
          <w:rFonts w:asciiTheme="majorBidi" w:hAnsiTheme="majorBidi" w:cstheme="majorBidi"/>
          <w:sz w:val="18"/>
          <w:szCs w:val="18"/>
          <w:lang w:val="it-IT"/>
        </w:rPr>
        <w:t>.</w:t>
      </w:r>
      <w:r w:rsidR="00814DF5" w:rsidRPr="00A2422B">
        <w:rPr>
          <w:rFonts w:asciiTheme="majorBidi" w:hAnsiTheme="majorBidi" w:cstheme="majorBidi"/>
          <w:sz w:val="18"/>
          <w:szCs w:val="18"/>
          <w:lang w:val="it-IT"/>
        </w:rPr>
        <w:t xml:space="preserve"> </w:t>
      </w:r>
      <w:r w:rsidR="00814DF5" w:rsidRPr="00781F4C">
        <w:rPr>
          <w:rFonts w:asciiTheme="majorBidi" w:hAnsiTheme="majorBidi" w:cstheme="majorBidi"/>
          <w:sz w:val="18"/>
          <w:szCs w:val="18"/>
          <w:lang w:val="en-US"/>
        </w:rPr>
        <w:t>Does moving towards renewable energy cause water and land inefficiency? An empiric</w:t>
      </w:r>
      <w:r w:rsidRPr="00781F4C">
        <w:rPr>
          <w:rFonts w:asciiTheme="majorBidi" w:hAnsiTheme="majorBidi" w:cstheme="majorBidi"/>
          <w:sz w:val="18"/>
          <w:szCs w:val="18"/>
          <w:lang w:val="en-US"/>
        </w:rPr>
        <w:t xml:space="preserve">al investigation. </w:t>
      </w:r>
      <w:r w:rsidRPr="00781F4C">
        <w:rPr>
          <w:rFonts w:asciiTheme="majorBidi" w:hAnsiTheme="majorBidi" w:cstheme="majorBidi"/>
          <w:i/>
          <w:iCs/>
          <w:sz w:val="18"/>
          <w:szCs w:val="18"/>
          <w:lang w:val="en-US"/>
        </w:rPr>
        <w:t>Energy Policy</w:t>
      </w:r>
      <w:r w:rsidR="00FD108F" w:rsidRPr="00781F4C">
        <w:rPr>
          <w:rFonts w:asciiTheme="majorBidi" w:hAnsiTheme="majorBidi" w:cstheme="majorBidi"/>
          <w:i/>
          <w:iCs/>
          <w:sz w:val="18"/>
          <w:szCs w:val="18"/>
          <w:lang w:val="en-US"/>
        </w:rPr>
        <w:t>,</w:t>
      </w:r>
      <w:r w:rsidRPr="00781F4C">
        <w:rPr>
          <w:rFonts w:asciiTheme="majorBidi" w:hAnsiTheme="majorBidi" w:cstheme="majorBidi"/>
          <w:sz w:val="18"/>
          <w:szCs w:val="18"/>
          <w:lang w:val="en-US"/>
        </w:rPr>
        <w:t xml:space="preserve"> 93:</w:t>
      </w:r>
      <w:r w:rsidR="00814DF5" w:rsidRPr="00781F4C">
        <w:rPr>
          <w:rFonts w:asciiTheme="majorBidi" w:hAnsiTheme="majorBidi" w:cstheme="majorBidi"/>
          <w:sz w:val="18"/>
          <w:szCs w:val="18"/>
          <w:lang w:val="en-US"/>
        </w:rPr>
        <w:t>303-314. https://doi.org/31</w:t>
      </w:r>
      <w:r w:rsidR="00F63C23" w:rsidRPr="00781F4C">
        <w:rPr>
          <w:rFonts w:asciiTheme="majorBidi" w:hAnsiTheme="majorBidi" w:cstheme="majorBidi"/>
          <w:sz w:val="18"/>
          <w:szCs w:val="18"/>
          <w:lang w:val="en-US"/>
        </w:rPr>
        <w:t>0.1016/j.enpol.2016.1003.1023.</w:t>
      </w:r>
    </w:p>
    <w:p w14:paraId="1E88A0EE" w14:textId="4F05F4AD" w:rsidR="00814DF5" w:rsidRPr="00781F4C" w:rsidRDefault="0055427A" w:rsidP="00B71320">
      <w:pPr>
        <w:spacing w:before="120"/>
        <w:ind w:left="284" w:hanging="284"/>
        <w:jc w:val="both"/>
        <w:rPr>
          <w:rFonts w:asciiTheme="majorBidi" w:hAnsiTheme="majorBidi" w:cstheme="majorBidi"/>
          <w:sz w:val="18"/>
          <w:szCs w:val="18"/>
          <w:lang w:val="en-US"/>
        </w:rPr>
      </w:pPr>
      <w:r w:rsidRPr="00A2422B">
        <w:rPr>
          <w:rFonts w:asciiTheme="majorBidi" w:hAnsiTheme="majorBidi" w:cstheme="majorBidi"/>
          <w:sz w:val="18"/>
          <w:szCs w:val="18"/>
          <w:lang w:val="it-IT"/>
        </w:rPr>
        <w:t>Alola AA</w:t>
      </w:r>
      <w:r w:rsidR="00FD108F" w:rsidRPr="00A2422B">
        <w:rPr>
          <w:rFonts w:asciiTheme="majorBidi" w:hAnsiTheme="majorBidi" w:cstheme="majorBidi"/>
          <w:sz w:val="18"/>
          <w:szCs w:val="18"/>
          <w:lang w:val="it-IT"/>
        </w:rPr>
        <w:t>.</w:t>
      </w:r>
      <w:r w:rsidRPr="00A2422B">
        <w:rPr>
          <w:rFonts w:asciiTheme="majorBidi" w:hAnsiTheme="majorBidi" w:cstheme="majorBidi"/>
          <w:sz w:val="18"/>
          <w:szCs w:val="18"/>
          <w:lang w:val="it-IT"/>
        </w:rPr>
        <w:t>, Bekun FV</w:t>
      </w:r>
      <w:r w:rsidR="00FD108F" w:rsidRPr="00A2422B">
        <w:rPr>
          <w:rFonts w:asciiTheme="majorBidi" w:hAnsiTheme="majorBidi" w:cstheme="majorBidi"/>
          <w:sz w:val="18"/>
          <w:szCs w:val="18"/>
          <w:lang w:val="it-IT"/>
        </w:rPr>
        <w:t>.</w:t>
      </w:r>
      <w:r w:rsidRPr="00A2422B">
        <w:rPr>
          <w:rFonts w:asciiTheme="majorBidi" w:hAnsiTheme="majorBidi" w:cstheme="majorBidi"/>
          <w:sz w:val="18"/>
          <w:szCs w:val="18"/>
          <w:lang w:val="it-IT"/>
        </w:rPr>
        <w:t>, Sarkodie SA</w:t>
      </w:r>
      <w:r w:rsidR="00FD108F" w:rsidRPr="00A2422B">
        <w:rPr>
          <w:rFonts w:asciiTheme="majorBidi" w:hAnsiTheme="majorBidi" w:cstheme="majorBidi"/>
          <w:sz w:val="18"/>
          <w:szCs w:val="18"/>
          <w:lang w:val="it-IT"/>
        </w:rPr>
        <w:t>.</w:t>
      </w:r>
      <w:r w:rsidRPr="00A2422B">
        <w:rPr>
          <w:rFonts w:asciiTheme="majorBidi" w:hAnsiTheme="majorBidi" w:cstheme="majorBidi"/>
          <w:sz w:val="18"/>
          <w:szCs w:val="18"/>
          <w:lang w:val="it-IT"/>
        </w:rPr>
        <w:t xml:space="preserve"> </w:t>
      </w:r>
      <w:r w:rsidRPr="00781F4C">
        <w:rPr>
          <w:rFonts w:asciiTheme="majorBidi" w:hAnsiTheme="majorBidi" w:cstheme="majorBidi"/>
          <w:sz w:val="18"/>
          <w:szCs w:val="18"/>
          <w:lang w:val="en-US"/>
        </w:rPr>
        <w:t>(2019)</w:t>
      </w:r>
      <w:r w:rsidR="00FD108F" w:rsidRPr="00781F4C">
        <w:rPr>
          <w:rFonts w:asciiTheme="majorBidi" w:hAnsiTheme="majorBidi" w:cstheme="majorBidi"/>
          <w:sz w:val="18"/>
          <w:szCs w:val="18"/>
          <w:lang w:val="en-US"/>
        </w:rPr>
        <w:t>.</w:t>
      </w:r>
      <w:r w:rsidR="00814DF5" w:rsidRPr="00781F4C">
        <w:rPr>
          <w:rFonts w:asciiTheme="majorBidi" w:hAnsiTheme="majorBidi" w:cstheme="majorBidi"/>
          <w:sz w:val="18"/>
          <w:szCs w:val="18"/>
          <w:lang w:val="en-US"/>
        </w:rPr>
        <w:t xml:space="preserve"> Dynamic impact of trade policy, economic growth, fertility rate, renewable and nonrenewable energy consumption on ecological footprint in Europe. </w:t>
      </w:r>
      <w:r w:rsidR="00814DF5" w:rsidRPr="00781F4C">
        <w:rPr>
          <w:rFonts w:asciiTheme="majorBidi" w:hAnsiTheme="majorBidi" w:cstheme="majorBidi"/>
          <w:i/>
          <w:iCs/>
          <w:sz w:val="18"/>
          <w:szCs w:val="18"/>
          <w:lang w:val="en-US"/>
        </w:rPr>
        <w:t>Sci. Total Environ</w:t>
      </w:r>
      <w:r w:rsidR="00FD108F" w:rsidRPr="00781F4C">
        <w:rPr>
          <w:rFonts w:asciiTheme="majorBidi" w:hAnsiTheme="majorBidi" w:cstheme="majorBidi"/>
          <w:i/>
          <w:iCs/>
          <w:sz w:val="18"/>
          <w:szCs w:val="18"/>
          <w:lang w:val="en-US"/>
        </w:rPr>
        <w:t>,</w:t>
      </w:r>
      <w:r w:rsidRPr="00781F4C">
        <w:rPr>
          <w:rFonts w:asciiTheme="majorBidi" w:hAnsiTheme="majorBidi" w:cstheme="majorBidi"/>
          <w:sz w:val="18"/>
          <w:szCs w:val="18"/>
          <w:lang w:val="en-US"/>
        </w:rPr>
        <w:t xml:space="preserve"> 685:</w:t>
      </w:r>
      <w:r w:rsidR="00814DF5" w:rsidRPr="00781F4C">
        <w:rPr>
          <w:rFonts w:asciiTheme="majorBidi" w:hAnsiTheme="majorBidi" w:cstheme="majorBidi"/>
          <w:sz w:val="18"/>
          <w:szCs w:val="18"/>
          <w:lang w:val="en-US"/>
        </w:rPr>
        <w:t xml:space="preserve">702–709. </w:t>
      </w:r>
      <w:hyperlink r:id="rId10" w:tgtFrame="_blank" w:tooltip="Persistent link using digital object identifier" w:history="1">
        <w:r w:rsidR="00814DF5" w:rsidRPr="00781F4C">
          <w:rPr>
            <w:rFonts w:asciiTheme="majorBidi" w:hAnsiTheme="majorBidi" w:cstheme="majorBidi"/>
            <w:sz w:val="18"/>
            <w:szCs w:val="18"/>
            <w:lang w:val="en-US"/>
          </w:rPr>
          <w:t>https://doi.org/10.1016/j.scitotenv.2019.05.139</w:t>
        </w:r>
      </w:hyperlink>
      <w:r w:rsidR="00814DF5" w:rsidRPr="00781F4C">
        <w:rPr>
          <w:rFonts w:asciiTheme="majorBidi" w:hAnsiTheme="majorBidi" w:cstheme="majorBidi"/>
          <w:sz w:val="18"/>
          <w:szCs w:val="18"/>
          <w:lang w:val="en-US"/>
        </w:rPr>
        <w:t>.</w:t>
      </w:r>
    </w:p>
    <w:p w14:paraId="58A8A60D" w14:textId="6A0B171F" w:rsidR="00295008" w:rsidRPr="00781F4C" w:rsidRDefault="0055427A" w:rsidP="00B71320">
      <w:pPr>
        <w:spacing w:before="120"/>
        <w:ind w:left="284" w:hanging="284"/>
        <w:jc w:val="both"/>
        <w:rPr>
          <w:rFonts w:asciiTheme="majorBidi" w:hAnsiTheme="majorBidi" w:cstheme="majorBidi"/>
          <w:sz w:val="18"/>
          <w:szCs w:val="18"/>
          <w:lang w:val="en-US"/>
        </w:rPr>
      </w:pPr>
      <w:proofErr w:type="spellStart"/>
      <w:r w:rsidRPr="00781F4C">
        <w:rPr>
          <w:rFonts w:asciiTheme="majorBidi" w:hAnsiTheme="majorBidi" w:cstheme="majorBidi"/>
          <w:sz w:val="18"/>
          <w:szCs w:val="18"/>
          <w:lang w:val="en-US"/>
        </w:rPr>
        <w:t>Aşıcı</w:t>
      </w:r>
      <w:proofErr w:type="spellEnd"/>
      <w:r w:rsidRPr="00781F4C">
        <w:rPr>
          <w:rFonts w:asciiTheme="majorBidi" w:hAnsiTheme="majorBidi" w:cstheme="majorBidi"/>
          <w:sz w:val="18"/>
          <w:szCs w:val="18"/>
          <w:lang w:val="en-US"/>
        </w:rPr>
        <w:t xml:space="preserve"> AA</w:t>
      </w:r>
      <w:r w:rsidR="00FD108F"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Acar S</w:t>
      </w:r>
      <w:r w:rsidR="00FD108F"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xml:space="preserve"> (2016)</w:t>
      </w:r>
      <w:r w:rsidR="00FD108F" w:rsidRPr="00781F4C">
        <w:rPr>
          <w:rFonts w:asciiTheme="majorBidi" w:hAnsiTheme="majorBidi" w:cstheme="majorBidi"/>
          <w:sz w:val="18"/>
          <w:szCs w:val="18"/>
          <w:lang w:val="en-US"/>
        </w:rPr>
        <w:t>.</w:t>
      </w:r>
      <w:r w:rsidR="00295008" w:rsidRPr="00781F4C">
        <w:rPr>
          <w:rFonts w:asciiTheme="majorBidi" w:hAnsiTheme="majorBidi" w:cstheme="majorBidi"/>
          <w:sz w:val="18"/>
          <w:szCs w:val="18"/>
          <w:lang w:val="en-US"/>
        </w:rPr>
        <w:t xml:space="preserve"> Does income growth relocate ecological footprint? </w:t>
      </w:r>
      <w:r w:rsidR="00295008" w:rsidRPr="00781F4C">
        <w:rPr>
          <w:rFonts w:asciiTheme="majorBidi" w:hAnsiTheme="majorBidi" w:cstheme="majorBidi"/>
          <w:i/>
          <w:iCs/>
          <w:sz w:val="18"/>
          <w:szCs w:val="18"/>
          <w:lang w:val="en-US"/>
        </w:rPr>
        <w:t>Ecological Indicators</w:t>
      </w:r>
      <w:r w:rsidR="00FD108F" w:rsidRPr="00781F4C">
        <w:rPr>
          <w:rFonts w:asciiTheme="majorBidi" w:hAnsiTheme="majorBidi" w:cstheme="majorBidi"/>
          <w:i/>
          <w:iCs/>
          <w:sz w:val="18"/>
          <w:szCs w:val="18"/>
          <w:lang w:val="en-US"/>
        </w:rPr>
        <w:t>,</w:t>
      </w:r>
      <w:r w:rsidR="00FD108F" w:rsidRPr="00781F4C">
        <w:rPr>
          <w:rFonts w:asciiTheme="majorBidi" w:hAnsiTheme="majorBidi" w:cstheme="majorBidi"/>
          <w:sz w:val="18"/>
          <w:szCs w:val="18"/>
          <w:lang w:val="en-US"/>
        </w:rPr>
        <w:t xml:space="preserve"> </w:t>
      </w:r>
      <w:r w:rsidRPr="00781F4C">
        <w:rPr>
          <w:rFonts w:asciiTheme="majorBidi" w:hAnsiTheme="majorBidi" w:cstheme="majorBidi"/>
          <w:sz w:val="18"/>
          <w:szCs w:val="18"/>
          <w:lang w:val="en-US"/>
        </w:rPr>
        <w:t>61:</w:t>
      </w:r>
      <w:r w:rsidR="00295008" w:rsidRPr="00781F4C">
        <w:rPr>
          <w:rFonts w:asciiTheme="majorBidi" w:hAnsiTheme="majorBidi" w:cstheme="majorBidi"/>
          <w:sz w:val="18"/>
          <w:szCs w:val="18"/>
          <w:lang w:val="en-US"/>
        </w:rPr>
        <w:t>707-714. https://doi.org/710.1016/j.ecolind.2015.1010.1022.</w:t>
      </w:r>
    </w:p>
    <w:p w14:paraId="1AD41736" w14:textId="7AB3D7FB" w:rsidR="00295008" w:rsidRPr="00781F4C" w:rsidRDefault="0055427A" w:rsidP="00B71320">
      <w:pPr>
        <w:spacing w:before="120"/>
        <w:ind w:left="284" w:hanging="284"/>
        <w:jc w:val="both"/>
        <w:rPr>
          <w:rFonts w:asciiTheme="majorBidi" w:hAnsiTheme="majorBidi" w:cstheme="majorBidi"/>
          <w:sz w:val="18"/>
          <w:szCs w:val="18"/>
        </w:rPr>
      </w:pPr>
      <w:r w:rsidRPr="00781F4C">
        <w:rPr>
          <w:rFonts w:asciiTheme="majorBidi" w:hAnsiTheme="majorBidi" w:cstheme="majorBidi"/>
          <w:sz w:val="18"/>
          <w:szCs w:val="18"/>
          <w:lang w:val="en-US"/>
        </w:rPr>
        <w:t>Baek J</w:t>
      </w:r>
      <w:r w:rsidR="00FD108F"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Cho Y, Koo</w:t>
      </w:r>
      <w:r w:rsidR="00295008" w:rsidRPr="00781F4C">
        <w:rPr>
          <w:rFonts w:asciiTheme="majorBidi" w:hAnsiTheme="majorBidi" w:cstheme="majorBidi"/>
          <w:sz w:val="18"/>
          <w:szCs w:val="18"/>
          <w:lang w:val="en-US"/>
        </w:rPr>
        <w:t xml:space="preserve"> W</w:t>
      </w:r>
      <w:r w:rsidRPr="00781F4C">
        <w:rPr>
          <w:rFonts w:asciiTheme="majorBidi" w:hAnsiTheme="majorBidi" w:cstheme="majorBidi"/>
          <w:sz w:val="18"/>
          <w:szCs w:val="18"/>
          <w:lang w:val="en-US"/>
        </w:rPr>
        <w:t>W</w:t>
      </w:r>
      <w:r w:rsidR="00FD108F"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xml:space="preserve"> (2009)</w:t>
      </w:r>
      <w:r w:rsidR="00295008" w:rsidRPr="00781F4C">
        <w:rPr>
          <w:rFonts w:asciiTheme="majorBidi" w:hAnsiTheme="majorBidi" w:cstheme="majorBidi"/>
          <w:sz w:val="18"/>
          <w:szCs w:val="18"/>
          <w:lang w:val="en-US"/>
        </w:rPr>
        <w:t xml:space="preserve"> The environmental consequences of globalization: A country-specific time-series analysis. </w:t>
      </w:r>
      <w:r w:rsidR="00295008" w:rsidRPr="00781F4C">
        <w:rPr>
          <w:rFonts w:asciiTheme="majorBidi" w:hAnsiTheme="majorBidi" w:cstheme="majorBidi"/>
          <w:i/>
          <w:iCs/>
          <w:sz w:val="18"/>
          <w:szCs w:val="18"/>
        </w:rPr>
        <w:t>Ecological Economics</w:t>
      </w:r>
      <w:r w:rsidR="00FD108F" w:rsidRPr="00781F4C">
        <w:rPr>
          <w:rFonts w:asciiTheme="majorBidi" w:hAnsiTheme="majorBidi" w:cstheme="majorBidi"/>
          <w:i/>
          <w:iCs/>
          <w:sz w:val="18"/>
          <w:szCs w:val="18"/>
        </w:rPr>
        <w:t>,</w:t>
      </w:r>
      <w:r w:rsidR="00295008" w:rsidRPr="00781F4C">
        <w:rPr>
          <w:rFonts w:asciiTheme="majorBidi" w:hAnsiTheme="majorBidi" w:cstheme="majorBidi"/>
          <w:sz w:val="18"/>
          <w:szCs w:val="18"/>
        </w:rPr>
        <w:t xml:space="preserve"> 68</w:t>
      </w:r>
      <w:r w:rsidRPr="00781F4C">
        <w:rPr>
          <w:rFonts w:asciiTheme="majorBidi" w:hAnsiTheme="majorBidi" w:cstheme="majorBidi"/>
          <w:sz w:val="18"/>
          <w:szCs w:val="18"/>
        </w:rPr>
        <w:t>(8-9):</w:t>
      </w:r>
      <w:r w:rsidR="00295008" w:rsidRPr="00781F4C">
        <w:rPr>
          <w:rFonts w:asciiTheme="majorBidi" w:hAnsiTheme="majorBidi" w:cstheme="majorBidi"/>
          <w:sz w:val="18"/>
          <w:szCs w:val="18"/>
        </w:rPr>
        <w:t>2255-2264. https://doi.org/2210.1016/j.ecolecon.2009.2202.2021.</w:t>
      </w:r>
    </w:p>
    <w:p w14:paraId="42787EBA" w14:textId="5344E69C" w:rsidR="00437D2E" w:rsidRPr="00781F4C" w:rsidRDefault="005F06F1" w:rsidP="00B71320">
      <w:pPr>
        <w:spacing w:before="120"/>
        <w:ind w:left="284" w:hanging="284"/>
        <w:jc w:val="both"/>
        <w:rPr>
          <w:rFonts w:asciiTheme="majorBidi" w:hAnsiTheme="majorBidi" w:cstheme="majorBidi"/>
          <w:sz w:val="18"/>
          <w:szCs w:val="18"/>
          <w:lang w:val="en-US"/>
        </w:rPr>
      </w:pPr>
      <w:r w:rsidRPr="00781F4C">
        <w:rPr>
          <w:rFonts w:asciiTheme="majorBidi" w:hAnsiTheme="majorBidi" w:cstheme="majorBidi"/>
          <w:sz w:val="18"/>
          <w:szCs w:val="18"/>
          <w:lang w:val="en-US"/>
        </w:rPr>
        <w:t>Belsley DA</w:t>
      </w:r>
      <w:r w:rsidR="00FD108F"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Kuh E</w:t>
      </w:r>
      <w:r w:rsidR="00FD108F"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Welsch RE</w:t>
      </w:r>
      <w:r w:rsidR="00FD108F"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xml:space="preserve"> (2005)</w:t>
      </w:r>
      <w:r w:rsidR="00FD108F" w:rsidRPr="00781F4C">
        <w:rPr>
          <w:rFonts w:asciiTheme="majorBidi" w:hAnsiTheme="majorBidi" w:cstheme="majorBidi"/>
          <w:sz w:val="18"/>
          <w:szCs w:val="18"/>
          <w:lang w:val="en-US"/>
        </w:rPr>
        <w:t>.</w:t>
      </w:r>
      <w:r w:rsidR="00295008" w:rsidRPr="00781F4C">
        <w:rPr>
          <w:rFonts w:asciiTheme="majorBidi" w:hAnsiTheme="majorBidi" w:cstheme="majorBidi"/>
          <w:sz w:val="18"/>
          <w:szCs w:val="18"/>
          <w:lang w:val="en-US"/>
        </w:rPr>
        <w:t xml:space="preserve"> Regression diagnostics: Identifying influential data and sources of collinearity</w:t>
      </w:r>
      <w:r w:rsidRPr="00781F4C">
        <w:rPr>
          <w:rFonts w:asciiTheme="majorBidi" w:hAnsiTheme="majorBidi" w:cstheme="majorBidi"/>
          <w:sz w:val="18"/>
          <w:szCs w:val="18"/>
          <w:lang w:val="en-US"/>
        </w:rPr>
        <w:t xml:space="preserve">.  </w:t>
      </w:r>
      <w:r w:rsidRPr="00781F4C">
        <w:rPr>
          <w:rFonts w:asciiTheme="majorBidi" w:hAnsiTheme="majorBidi" w:cstheme="majorBidi"/>
          <w:i/>
          <w:iCs/>
          <w:sz w:val="18"/>
          <w:szCs w:val="18"/>
          <w:lang w:val="en-US"/>
        </w:rPr>
        <w:t>John Wiley &amp; Sons</w:t>
      </w:r>
      <w:r w:rsidR="00FD108F" w:rsidRPr="00781F4C">
        <w:rPr>
          <w:rFonts w:asciiTheme="majorBidi" w:hAnsiTheme="majorBidi" w:cstheme="majorBidi"/>
          <w:i/>
          <w:iCs/>
          <w:sz w:val="18"/>
          <w:szCs w:val="18"/>
          <w:lang w:val="en-US"/>
        </w:rPr>
        <w:t>,</w:t>
      </w:r>
      <w:r w:rsidRPr="00781F4C">
        <w:rPr>
          <w:rFonts w:asciiTheme="majorBidi" w:hAnsiTheme="majorBidi" w:cstheme="majorBidi"/>
          <w:i/>
          <w:iCs/>
          <w:sz w:val="18"/>
          <w:szCs w:val="18"/>
          <w:lang w:val="en-US"/>
        </w:rPr>
        <w:t xml:space="preserve"> </w:t>
      </w:r>
      <w:r w:rsidRPr="00781F4C">
        <w:rPr>
          <w:rFonts w:asciiTheme="majorBidi" w:hAnsiTheme="majorBidi" w:cstheme="majorBidi"/>
          <w:sz w:val="18"/>
          <w:szCs w:val="18"/>
          <w:lang w:val="en-US"/>
        </w:rPr>
        <w:t>571</w:t>
      </w:r>
      <w:r w:rsidR="00295008" w:rsidRPr="00781F4C">
        <w:rPr>
          <w:rFonts w:asciiTheme="majorBidi" w:hAnsiTheme="majorBidi" w:cstheme="majorBidi"/>
          <w:sz w:val="18"/>
          <w:szCs w:val="18"/>
          <w:lang w:val="en-US"/>
        </w:rPr>
        <w:t>. http://dx.doi.org/10.1002/0471725153</w:t>
      </w:r>
      <w:r w:rsidRPr="00781F4C">
        <w:rPr>
          <w:rFonts w:asciiTheme="majorBidi" w:hAnsiTheme="majorBidi" w:cstheme="majorBidi"/>
          <w:sz w:val="18"/>
          <w:szCs w:val="18"/>
          <w:lang w:val="en-US"/>
        </w:rPr>
        <w:t>.</w:t>
      </w:r>
    </w:p>
    <w:p w14:paraId="00C21B05" w14:textId="31F14E12" w:rsidR="00B1096B" w:rsidRPr="00781F4C" w:rsidRDefault="005F06F1" w:rsidP="00B71320">
      <w:pPr>
        <w:spacing w:before="120"/>
        <w:ind w:left="284" w:hanging="284"/>
        <w:jc w:val="both"/>
        <w:rPr>
          <w:rFonts w:asciiTheme="majorBidi" w:hAnsiTheme="majorBidi" w:cstheme="majorBidi"/>
          <w:sz w:val="18"/>
          <w:szCs w:val="18"/>
        </w:rPr>
      </w:pPr>
      <w:r w:rsidRPr="00781F4C">
        <w:rPr>
          <w:rFonts w:asciiTheme="majorBidi" w:hAnsiTheme="majorBidi" w:cstheme="majorBidi"/>
          <w:sz w:val="18"/>
          <w:szCs w:val="18"/>
        </w:rPr>
        <w:t>Boserup E</w:t>
      </w:r>
      <w:r w:rsidR="00FD108F" w:rsidRPr="00781F4C">
        <w:rPr>
          <w:rFonts w:asciiTheme="majorBidi" w:hAnsiTheme="majorBidi" w:cstheme="majorBidi"/>
          <w:sz w:val="18"/>
          <w:szCs w:val="18"/>
        </w:rPr>
        <w:t>.</w:t>
      </w:r>
      <w:r w:rsidRPr="00781F4C">
        <w:rPr>
          <w:rFonts w:asciiTheme="majorBidi" w:hAnsiTheme="majorBidi" w:cstheme="majorBidi"/>
          <w:sz w:val="18"/>
          <w:szCs w:val="18"/>
        </w:rPr>
        <w:t xml:space="preserve"> (1981)</w:t>
      </w:r>
      <w:r w:rsidR="00FD108F" w:rsidRPr="00781F4C">
        <w:rPr>
          <w:rFonts w:asciiTheme="majorBidi" w:hAnsiTheme="majorBidi" w:cstheme="majorBidi"/>
          <w:sz w:val="18"/>
          <w:szCs w:val="18"/>
        </w:rPr>
        <w:t>.</w:t>
      </w:r>
      <w:r w:rsidR="00B1096B" w:rsidRPr="00781F4C">
        <w:rPr>
          <w:rFonts w:asciiTheme="majorBidi" w:hAnsiTheme="majorBidi" w:cstheme="majorBidi"/>
          <w:sz w:val="18"/>
          <w:szCs w:val="18"/>
        </w:rPr>
        <w:t xml:space="preserve"> Population and Techno</w:t>
      </w:r>
      <w:r w:rsidRPr="00781F4C">
        <w:rPr>
          <w:rFonts w:asciiTheme="majorBidi" w:hAnsiTheme="majorBidi" w:cstheme="majorBidi"/>
          <w:sz w:val="18"/>
          <w:szCs w:val="18"/>
        </w:rPr>
        <w:t>logical Change: A Study of long</w:t>
      </w:r>
      <w:r w:rsidR="00B1096B" w:rsidRPr="00781F4C">
        <w:rPr>
          <w:rFonts w:asciiTheme="majorBidi" w:hAnsiTheme="majorBidi" w:cstheme="majorBidi"/>
          <w:sz w:val="18"/>
          <w:szCs w:val="18"/>
        </w:rPr>
        <w:t xml:space="preserve">- Term Trends. Chicago: </w:t>
      </w:r>
      <w:r w:rsidR="00B1096B" w:rsidRPr="00781F4C">
        <w:rPr>
          <w:rFonts w:asciiTheme="majorBidi" w:hAnsiTheme="majorBidi" w:cstheme="majorBidi"/>
          <w:i/>
          <w:iCs/>
          <w:sz w:val="18"/>
          <w:szCs w:val="18"/>
        </w:rPr>
        <w:t>University of Chicago Press</w:t>
      </w:r>
      <w:r w:rsidR="00B1096B" w:rsidRPr="00781F4C">
        <w:rPr>
          <w:rFonts w:asciiTheme="majorBidi" w:hAnsiTheme="majorBidi" w:cstheme="majorBidi"/>
          <w:sz w:val="18"/>
          <w:szCs w:val="18"/>
        </w:rPr>
        <w:t>.</w:t>
      </w:r>
    </w:p>
    <w:p w14:paraId="35227E21" w14:textId="2DDB9CCB" w:rsidR="000B2888" w:rsidRPr="00781F4C" w:rsidRDefault="00396C26" w:rsidP="00B71320">
      <w:pPr>
        <w:spacing w:before="120"/>
        <w:ind w:left="284" w:hanging="284"/>
        <w:jc w:val="both"/>
        <w:rPr>
          <w:rFonts w:asciiTheme="majorBidi" w:hAnsiTheme="majorBidi" w:cstheme="majorBidi"/>
          <w:sz w:val="18"/>
          <w:szCs w:val="18"/>
        </w:rPr>
      </w:pPr>
      <w:r w:rsidRPr="00781F4C">
        <w:rPr>
          <w:rFonts w:asciiTheme="majorBidi" w:hAnsiTheme="majorBidi" w:cstheme="majorBidi"/>
          <w:sz w:val="18"/>
          <w:szCs w:val="18"/>
        </w:rPr>
        <w:t>Breusch TS</w:t>
      </w:r>
      <w:r w:rsidR="00FD108F" w:rsidRPr="00781F4C">
        <w:rPr>
          <w:rFonts w:asciiTheme="majorBidi" w:hAnsiTheme="majorBidi" w:cstheme="majorBidi"/>
          <w:sz w:val="18"/>
          <w:szCs w:val="18"/>
        </w:rPr>
        <w:t>.</w:t>
      </w:r>
      <w:r w:rsidRPr="00781F4C">
        <w:rPr>
          <w:rFonts w:asciiTheme="majorBidi" w:hAnsiTheme="majorBidi" w:cstheme="majorBidi"/>
          <w:sz w:val="18"/>
          <w:szCs w:val="18"/>
        </w:rPr>
        <w:t>, Pagan AR</w:t>
      </w:r>
      <w:r w:rsidR="00FD108F" w:rsidRPr="00781F4C">
        <w:rPr>
          <w:rFonts w:asciiTheme="majorBidi" w:hAnsiTheme="majorBidi" w:cstheme="majorBidi"/>
          <w:sz w:val="18"/>
          <w:szCs w:val="18"/>
        </w:rPr>
        <w:t>.</w:t>
      </w:r>
      <w:r w:rsidRPr="00781F4C">
        <w:rPr>
          <w:rFonts w:asciiTheme="majorBidi" w:hAnsiTheme="majorBidi" w:cstheme="majorBidi"/>
          <w:sz w:val="18"/>
          <w:szCs w:val="18"/>
        </w:rPr>
        <w:t xml:space="preserve"> (1980)</w:t>
      </w:r>
      <w:r w:rsidR="00FD108F" w:rsidRPr="00781F4C">
        <w:rPr>
          <w:rFonts w:asciiTheme="majorBidi" w:hAnsiTheme="majorBidi" w:cstheme="majorBidi"/>
          <w:sz w:val="18"/>
          <w:szCs w:val="18"/>
        </w:rPr>
        <w:t>.</w:t>
      </w:r>
      <w:r w:rsidR="000B2888" w:rsidRPr="00781F4C">
        <w:rPr>
          <w:rFonts w:asciiTheme="majorBidi" w:hAnsiTheme="majorBidi" w:cstheme="majorBidi"/>
          <w:sz w:val="18"/>
          <w:szCs w:val="18"/>
        </w:rPr>
        <w:t xml:space="preserve"> The Lagrange multiplier test and its applications to model specification in econometrics.</w:t>
      </w:r>
      <w:r w:rsidRPr="00781F4C">
        <w:rPr>
          <w:rFonts w:asciiTheme="majorBidi" w:hAnsiTheme="majorBidi" w:cstheme="majorBidi"/>
          <w:sz w:val="18"/>
          <w:szCs w:val="18"/>
        </w:rPr>
        <w:t xml:space="preserve"> T</w:t>
      </w:r>
      <w:r w:rsidRPr="00781F4C">
        <w:rPr>
          <w:rFonts w:asciiTheme="majorBidi" w:hAnsiTheme="majorBidi" w:cstheme="majorBidi"/>
          <w:i/>
          <w:iCs/>
          <w:sz w:val="18"/>
          <w:szCs w:val="18"/>
        </w:rPr>
        <w:t>he review of economic studies</w:t>
      </w:r>
      <w:r w:rsidR="00FD108F" w:rsidRPr="00781F4C">
        <w:rPr>
          <w:rFonts w:asciiTheme="majorBidi" w:hAnsiTheme="majorBidi" w:cstheme="majorBidi"/>
          <w:i/>
          <w:iCs/>
          <w:sz w:val="18"/>
          <w:szCs w:val="18"/>
        </w:rPr>
        <w:t>,</w:t>
      </w:r>
      <w:r w:rsidRPr="00781F4C">
        <w:rPr>
          <w:rFonts w:asciiTheme="majorBidi" w:hAnsiTheme="majorBidi" w:cstheme="majorBidi"/>
          <w:sz w:val="18"/>
          <w:szCs w:val="18"/>
        </w:rPr>
        <w:t xml:space="preserve"> 47(1):</w:t>
      </w:r>
      <w:r w:rsidR="00FD108F" w:rsidRPr="00781F4C">
        <w:rPr>
          <w:rFonts w:asciiTheme="majorBidi" w:hAnsiTheme="majorBidi" w:cstheme="majorBidi"/>
          <w:sz w:val="18"/>
          <w:szCs w:val="18"/>
        </w:rPr>
        <w:t xml:space="preserve"> </w:t>
      </w:r>
      <w:r w:rsidR="000B2888" w:rsidRPr="00781F4C">
        <w:rPr>
          <w:rFonts w:asciiTheme="majorBidi" w:hAnsiTheme="majorBidi" w:cstheme="majorBidi"/>
          <w:sz w:val="18"/>
          <w:szCs w:val="18"/>
        </w:rPr>
        <w:t xml:space="preserve">239-253. </w:t>
      </w:r>
      <w:r w:rsidR="00000000">
        <w:fldChar w:fldCharType="begin"/>
      </w:r>
      <w:r w:rsidR="00000000">
        <w:instrText>HYPERLINK "https://doi.org/210.2307/2297111"</w:instrText>
      </w:r>
      <w:r w:rsidR="00000000">
        <w:fldChar w:fldCharType="separate"/>
      </w:r>
      <w:r w:rsidR="000B2888" w:rsidRPr="00781F4C">
        <w:rPr>
          <w:rFonts w:asciiTheme="majorBidi" w:hAnsiTheme="majorBidi" w:cstheme="majorBidi"/>
          <w:sz w:val="18"/>
          <w:szCs w:val="18"/>
        </w:rPr>
        <w:t>https://doi.org/210.2307/2297111</w:t>
      </w:r>
      <w:r w:rsidR="00000000">
        <w:rPr>
          <w:rFonts w:asciiTheme="majorBidi" w:hAnsiTheme="majorBidi" w:cstheme="majorBidi"/>
          <w:sz w:val="18"/>
          <w:szCs w:val="18"/>
        </w:rPr>
        <w:fldChar w:fldCharType="end"/>
      </w:r>
      <w:r w:rsidR="000B2888" w:rsidRPr="00781F4C">
        <w:rPr>
          <w:rFonts w:asciiTheme="majorBidi" w:hAnsiTheme="majorBidi" w:cstheme="majorBidi"/>
          <w:sz w:val="18"/>
          <w:szCs w:val="18"/>
        </w:rPr>
        <w:t>.</w:t>
      </w:r>
    </w:p>
    <w:p w14:paraId="5B0AE238" w14:textId="20BA3DA6" w:rsidR="006D1FF5" w:rsidRPr="00781F4C" w:rsidRDefault="00396C26" w:rsidP="00B71320">
      <w:pPr>
        <w:spacing w:before="120"/>
        <w:ind w:left="284" w:hanging="284"/>
        <w:jc w:val="both"/>
        <w:rPr>
          <w:rFonts w:asciiTheme="majorBidi" w:hAnsiTheme="majorBidi" w:cstheme="majorBidi"/>
          <w:sz w:val="18"/>
          <w:szCs w:val="18"/>
          <w:lang w:val="en-US"/>
        </w:rPr>
      </w:pPr>
      <w:r w:rsidRPr="00781F4C">
        <w:rPr>
          <w:rFonts w:asciiTheme="majorBidi" w:hAnsiTheme="majorBidi" w:cstheme="majorBidi"/>
          <w:sz w:val="18"/>
          <w:szCs w:val="18"/>
        </w:rPr>
        <w:t>Buhari DO</w:t>
      </w:r>
      <w:r w:rsidR="00FD108F" w:rsidRPr="00781F4C">
        <w:rPr>
          <w:rFonts w:asciiTheme="majorBidi" w:hAnsiTheme="majorBidi" w:cstheme="majorBidi"/>
          <w:sz w:val="18"/>
          <w:szCs w:val="18"/>
        </w:rPr>
        <w:t>.</w:t>
      </w:r>
      <w:r w:rsidRPr="00781F4C">
        <w:rPr>
          <w:rFonts w:asciiTheme="majorBidi" w:hAnsiTheme="majorBidi" w:cstheme="majorBidi"/>
          <w:sz w:val="18"/>
          <w:szCs w:val="18"/>
        </w:rPr>
        <w:t>, Lorente DB</w:t>
      </w:r>
      <w:r w:rsidR="00FD108F" w:rsidRPr="00781F4C">
        <w:rPr>
          <w:rFonts w:asciiTheme="majorBidi" w:hAnsiTheme="majorBidi" w:cstheme="majorBidi"/>
          <w:sz w:val="18"/>
          <w:szCs w:val="18"/>
        </w:rPr>
        <w:t>.</w:t>
      </w:r>
      <w:r w:rsidRPr="00781F4C">
        <w:rPr>
          <w:rFonts w:asciiTheme="majorBidi" w:hAnsiTheme="majorBidi" w:cstheme="majorBidi"/>
          <w:sz w:val="18"/>
          <w:szCs w:val="18"/>
        </w:rPr>
        <w:t>, Ali-Nasir M</w:t>
      </w:r>
      <w:r w:rsidR="00FD108F" w:rsidRPr="00781F4C">
        <w:rPr>
          <w:rFonts w:asciiTheme="majorBidi" w:hAnsiTheme="majorBidi" w:cstheme="majorBidi"/>
          <w:sz w:val="18"/>
          <w:szCs w:val="18"/>
        </w:rPr>
        <w:t>.</w:t>
      </w:r>
      <w:r w:rsidRPr="00781F4C">
        <w:rPr>
          <w:rFonts w:asciiTheme="majorBidi" w:hAnsiTheme="majorBidi" w:cstheme="majorBidi"/>
          <w:sz w:val="18"/>
          <w:szCs w:val="18"/>
        </w:rPr>
        <w:t xml:space="preserve"> (2020)</w:t>
      </w:r>
      <w:r w:rsidR="00FD108F" w:rsidRPr="00781F4C">
        <w:rPr>
          <w:rFonts w:asciiTheme="majorBidi" w:hAnsiTheme="majorBidi" w:cstheme="majorBidi"/>
          <w:sz w:val="18"/>
          <w:szCs w:val="18"/>
        </w:rPr>
        <w:t>.</w:t>
      </w:r>
      <w:r w:rsidR="006D1FF5" w:rsidRPr="00781F4C">
        <w:rPr>
          <w:rFonts w:asciiTheme="majorBidi" w:hAnsiTheme="majorBidi" w:cstheme="majorBidi"/>
          <w:sz w:val="18"/>
          <w:szCs w:val="18"/>
        </w:rPr>
        <w:t xml:space="preserve"> </w:t>
      </w:r>
      <w:r w:rsidR="006D1FF5" w:rsidRPr="00781F4C">
        <w:rPr>
          <w:rFonts w:asciiTheme="majorBidi" w:hAnsiTheme="majorBidi" w:cstheme="majorBidi"/>
          <w:sz w:val="18"/>
          <w:szCs w:val="18"/>
          <w:lang w:val="en-US"/>
        </w:rPr>
        <w:t xml:space="preserve">European commitment to COP21 and the role of energy consumption, FDI, trade and economic complexity in sustaining economic growth. </w:t>
      </w:r>
      <w:r w:rsidR="006D1FF5" w:rsidRPr="00781F4C">
        <w:rPr>
          <w:rFonts w:asciiTheme="majorBidi" w:hAnsiTheme="majorBidi" w:cstheme="majorBidi"/>
          <w:i/>
          <w:iCs/>
          <w:sz w:val="18"/>
          <w:szCs w:val="18"/>
          <w:lang w:val="en-US"/>
        </w:rPr>
        <w:t>Journal of</w:t>
      </w:r>
      <w:r w:rsidR="00C03B25" w:rsidRPr="00781F4C">
        <w:rPr>
          <w:rFonts w:asciiTheme="majorBidi" w:hAnsiTheme="majorBidi" w:cstheme="majorBidi"/>
          <w:i/>
          <w:iCs/>
          <w:sz w:val="18"/>
          <w:szCs w:val="18"/>
          <w:lang w:val="en-US"/>
        </w:rPr>
        <w:t xml:space="preserve"> Environmental Management</w:t>
      </w:r>
      <w:r w:rsidR="00FD108F" w:rsidRPr="00781F4C">
        <w:rPr>
          <w:rFonts w:asciiTheme="majorBidi" w:hAnsiTheme="majorBidi" w:cstheme="majorBidi"/>
          <w:i/>
          <w:iCs/>
          <w:sz w:val="18"/>
          <w:szCs w:val="18"/>
          <w:lang w:val="en-US"/>
        </w:rPr>
        <w:t>,</w:t>
      </w:r>
      <w:r w:rsidR="00C03B25" w:rsidRPr="00781F4C">
        <w:rPr>
          <w:rFonts w:asciiTheme="majorBidi" w:hAnsiTheme="majorBidi" w:cstheme="majorBidi"/>
          <w:sz w:val="18"/>
          <w:szCs w:val="18"/>
          <w:lang w:val="en-US"/>
        </w:rPr>
        <w:t xml:space="preserve"> 273. </w:t>
      </w:r>
      <w:r w:rsidR="006D1FF5" w:rsidRPr="00781F4C">
        <w:rPr>
          <w:rFonts w:asciiTheme="majorBidi" w:hAnsiTheme="majorBidi" w:cstheme="majorBidi"/>
          <w:sz w:val="18"/>
          <w:szCs w:val="18"/>
          <w:lang w:val="en-US"/>
        </w:rPr>
        <w:t>DOI:</w:t>
      </w:r>
      <w:r w:rsidR="003C215C" w:rsidRPr="00781F4C">
        <w:rPr>
          <w:rFonts w:asciiTheme="majorBidi" w:hAnsiTheme="majorBidi" w:cstheme="majorBidi"/>
          <w:sz w:val="18"/>
          <w:szCs w:val="18"/>
          <w:lang w:val="en-US"/>
        </w:rPr>
        <w:t xml:space="preserve"> </w:t>
      </w:r>
      <w:hyperlink r:id="rId11" w:tgtFrame="_blank" w:history="1">
        <w:r w:rsidR="006D1FF5" w:rsidRPr="00781F4C">
          <w:rPr>
            <w:rFonts w:asciiTheme="majorBidi" w:hAnsiTheme="majorBidi" w:cstheme="majorBidi"/>
            <w:sz w:val="18"/>
            <w:szCs w:val="18"/>
            <w:lang w:val="en-US"/>
          </w:rPr>
          <w:t>10.1016/j.jenvman.2020.111146</w:t>
        </w:r>
      </w:hyperlink>
      <w:r w:rsidR="006D1FF5" w:rsidRPr="00781F4C">
        <w:rPr>
          <w:rFonts w:asciiTheme="majorBidi" w:hAnsiTheme="majorBidi" w:cstheme="majorBidi"/>
          <w:sz w:val="18"/>
          <w:szCs w:val="18"/>
          <w:lang w:val="en-US"/>
        </w:rPr>
        <w:t>.</w:t>
      </w:r>
    </w:p>
    <w:p w14:paraId="58346880" w14:textId="081D2594" w:rsidR="008E7A4E" w:rsidRPr="00781F4C" w:rsidRDefault="00105C34" w:rsidP="00B71320">
      <w:pPr>
        <w:spacing w:before="120"/>
        <w:ind w:left="284" w:hanging="284"/>
        <w:jc w:val="both"/>
        <w:rPr>
          <w:rFonts w:asciiTheme="majorBidi" w:hAnsiTheme="majorBidi" w:cstheme="majorBidi"/>
          <w:sz w:val="18"/>
          <w:szCs w:val="18"/>
          <w:lang w:val="en-US"/>
        </w:rPr>
      </w:pPr>
      <w:proofErr w:type="spellStart"/>
      <w:r w:rsidRPr="00781F4C">
        <w:rPr>
          <w:rFonts w:asciiTheme="majorBidi" w:hAnsiTheme="majorBidi" w:cstheme="majorBidi"/>
          <w:sz w:val="18"/>
          <w:szCs w:val="18"/>
          <w:lang w:val="en-US"/>
        </w:rPr>
        <w:t>Charfeddine</w:t>
      </w:r>
      <w:proofErr w:type="spellEnd"/>
      <w:r w:rsidRPr="00781F4C">
        <w:rPr>
          <w:rFonts w:asciiTheme="majorBidi" w:hAnsiTheme="majorBidi" w:cstheme="majorBidi"/>
          <w:sz w:val="18"/>
          <w:szCs w:val="18"/>
          <w:lang w:val="en-US"/>
        </w:rPr>
        <w:t xml:space="preserve"> L</w:t>
      </w:r>
      <w:r w:rsidR="00072C0C"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Mrabet Z</w:t>
      </w:r>
      <w:r w:rsidR="00072C0C"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xml:space="preserve"> (2017)</w:t>
      </w:r>
      <w:r w:rsidR="00072C0C" w:rsidRPr="00781F4C">
        <w:rPr>
          <w:rFonts w:asciiTheme="majorBidi" w:hAnsiTheme="majorBidi" w:cstheme="majorBidi"/>
          <w:sz w:val="18"/>
          <w:szCs w:val="18"/>
          <w:lang w:val="en-US"/>
        </w:rPr>
        <w:t>.</w:t>
      </w:r>
      <w:r w:rsidR="008E7A4E" w:rsidRPr="00781F4C">
        <w:rPr>
          <w:rFonts w:asciiTheme="majorBidi" w:hAnsiTheme="majorBidi" w:cstheme="majorBidi"/>
          <w:sz w:val="18"/>
          <w:szCs w:val="18"/>
          <w:lang w:val="en-US"/>
        </w:rPr>
        <w:t xml:space="preserve"> The impact of economic development and social-political factors on ecological footprint: A panel data analysis for 15 MENA countries. </w:t>
      </w:r>
      <w:r w:rsidR="008E7A4E" w:rsidRPr="00781F4C">
        <w:rPr>
          <w:rFonts w:asciiTheme="majorBidi" w:hAnsiTheme="majorBidi" w:cstheme="majorBidi"/>
          <w:i/>
          <w:iCs/>
          <w:sz w:val="18"/>
          <w:szCs w:val="18"/>
          <w:lang w:val="en-US"/>
        </w:rPr>
        <w:t>Renew. Sustain. Energy Rev</w:t>
      </w:r>
      <w:r w:rsidR="00072C0C" w:rsidRPr="00781F4C">
        <w:rPr>
          <w:rFonts w:asciiTheme="majorBidi" w:hAnsiTheme="majorBidi" w:cstheme="majorBidi"/>
          <w:i/>
          <w:iCs/>
          <w:sz w:val="18"/>
          <w:szCs w:val="18"/>
          <w:lang w:val="en-US"/>
        </w:rPr>
        <w:t>,</w:t>
      </w:r>
      <w:r w:rsidRPr="00781F4C">
        <w:rPr>
          <w:rFonts w:asciiTheme="majorBidi" w:hAnsiTheme="majorBidi" w:cstheme="majorBidi"/>
          <w:sz w:val="18"/>
          <w:szCs w:val="18"/>
          <w:lang w:val="en-US"/>
        </w:rPr>
        <w:t xml:space="preserve"> 76:</w:t>
      </w:r>
      <w:r w:rsidR="008E7A4E" w:rsidRPr="00781F4C">
        <w:rPr>
          <w:rFonts w:asciiTheme="majorBidi" w:hAnsiTheme="majorBidi" w:cstheme="majorBidi"/>
          <w:sz w:val="18"/>
          <w:szCs w:val="18"/>
          <w:lang w:val="en-US"/>
        </w:rPr>
        <w:t xml:space="preserve">138-154. </w:t>
      </w:r>
      <w:hyperlink r:id="rId12" w:tgtFrame="_blank" w:tooltip="Persistent link using digital object identifier" w:history="1">
        <w:r w:rsidR="008E7A4E" w:rsidRPr="00781F4C">
          <w:rPr>
            <w:rFonts w:asciiTheme="majorBidi" w:hAnsiTheme="majorBidi" w:cstheme="majorBidi"/>
            <w:sz w:val="18"/>
            <w:szCs w:val="18"/>
            <w:lang w:val="en-US"/>
          </w:rPr>
          <w:t>https://doi.org/10.1016/j.rser.2017.03.031</w:t>
        </w:r>
      </w:hyperlink>
      <w:r w:rsidR="008E7A4E" w:rsidRPr="00781F4C">
        <w:rPr>
          <w:rFonts w:asciiTheme="majorBidi" w:hAnsiTheme="majorBidi" w:cstheme="majorBidi"/>
          <w:sz w:val="18"/>
          <w:szCs w:val="18"/>
          <w:lang w:val="en-US"/>
        </w:rPr>
        <w:t>.</w:t>
      </w:r>
    </w:p>
    <w:p w14:paraId="4305D5DB" w14:textId="1D7B38F2" w:rsidR="00D81DAD" w:rsidRPr="00781F4C" w:rsidRDefault="00105C34" w:rsidP="00B71320">
      <w:pPr>
        <w:spacing w:before="120"/>
        <w:ind w:left="284" w:hanging="284"/>
        <w:jc w:val="both"/>
        <w:rPr>
          <w:rFonts w:asciiTheme="majorBidi" w:hAnsiTheme="majorBidi" w:cstheme="majorBidi"/>
          <w:sz w:val="18"/>
          <w:szCs w:val="18"/>
          <w:lang w:val="en-US"/>
        </w:rPr>
      </w:pPr>
      <w:r w:rsidRPr="00781F4C">
        <w:rPr>
          <w:rFonts w:asciiTheme="majorBidi" w:hAnsiTheme="majorBidi" w:cstheme="majorBidi"/>
          <w:sz w:val="18"/>
          <w:szCs w:val="18"/>
          <w:lang w:val="en-US"/>
        </w:rPr>
        <w:t>Dogan E</w:t>
      </w:r>
      <w:r w:rsidR="00072C0C" w:rsidRPr="00781F4C">
        <w:rPr>
          <w:rFonts w:asciiTheme="majorBidi" w:hAnsiTheme="majorBidi" w:cstheme="majorBidi"/>
          <w:sz w:val="18"/>
          <w:szCs w:val="18"/>
          <w:lang w:val="en-US"/>
        </w:rPr>
        <w:t>.</w:t>
      </w:r>
      <w:r w:rsidR="00D81DAD" w:rsidRPr="00781F4C">
        <w:rPr>
          <w:rFonts w:asciiTheme="majorBidi" w:hAnsiTheme="majorBidi" w:cstheme="majorBidi"/>
          <w:sz w:val="18"/>
          <w:szCs w:val="18"/>
          <w:lang w:val="en-US"/>
        </w:rPr>
        <w:t xml:space="preserve">, </w:t>
      </w:r>
      <w:proofErr w:type="spellStart"/>
      <w:r w:rsidRPr="00781F4C">
        <w:rPr>
          <w:rFonts w:asciiTheme="majorBidi" w:hAnsiTheme="majorBidi" w:cstheme="majorBidi"/>
          <w:sz w:val="18"/>
          <w:szCs w:val="18"/>
          <w:lang w:val="en-US"/>
        </w:rPr>
        <w:t>Turkekul</w:t>
      </w:r>
      <w:proofErr w:type="spellEnd"/>
      <w:r w:rsidR="00EE481F" w:rsidRPr="00781F4C">
        <w:rPr>
          <w:rFonts w:asciiTheme="majorBidi" w:hAnsiTheme="majorBidi" w:cstheme="majorBidi"/>
          <w:sz w:val="18"/>
          <w:szCs w:val="18"/>
          <w:lang w:val="en-US"/>
        </w:rPr>
        <w:t xml:space="preserve"> B</w:t>
      </w:r>
      <w:r w:rsidR="00072C0C" w:rsidRPr="00781F4C">
        <w:rPr>
          <w:rFonts w:asciiTheme="majorBidi" w:hAnsiTheme="majorBidi" w:cstheme="majorBidi"/>
          <w:sz w:val="18"/>
          <w:szCs w:val="18"/>
          <w:lang w:val="en-US"/>
        </w:rPr>
        <w:t>.</w:t>
      </w:r>
      <w:r w:rsidR="00EE481F" w:rsidRPr="00781F4C">
        <w:rPr>
          <w:rFonts w:asciiTheme="majorBidi" w:hAnsiTheme="majorBidi" w:cstheme="majorBidi"/>
          <w:sz w:val="18"/>
          <w:szCs w:val="18"/>
          <w:lang w:val="en-US"/>
        </w:rPr>
        <w:t xml:space="preserve"> (2016)</w:t>
      </w:r>
      <w:r w:rsidR="00072C0C" w:rsidRPr="00781F4C">
        <w:rPr>
          <w:rFonts w:asciiTheme="majorBidi" w:hAnsiTheme="majorBidi" w:cstheme="majorBidi"/>
          <w:sz w:val="18"/>
          <w:szCs w:val="18"/>
          <w:lang w:val="en-US"/>
        </w:rPr>
        <w:t>.</w:t>
      </w:r>
      <w:r w:rsidR="00D81DAD" w:rsidRPr="00781F4C">
        <w:rPr>
          <w:rFonts w:asciiTheme="majorBidi" w:hAnsiTheme="majorBidi" w:cstheme="majorBidi"/>
          <w:sz w:val="18"/>
          <w:szCs w:val="18"/>
          <w:lang w:val="en-US"/>
        </w:rPr>
        <w:t xml:space="preserve"> CO2 emissions, real output, energy consumption, trade, urbanization and financial development: testing the EKC hypothesis for the USA. </w:t>
      </w:r>
      <w:r w:rsidR="00D81DAD" w:rsidRPr="00781F4C">
        <w:rPr>
          <w:rFonts w:asciiTheme="majorBidi" w:hAnsiTheme="majorBidi" w:cstheme="majorBidi"/>
          <w:i/>
          <w:iCs/>
          <w:sz w:val="18"/>
          <w:szCs w:val="18"/>
          <w:lang w:val="en-US"/>
        </w:rPr>
        <w:t xml:space="preserve">Environ Sci </w:t>
      </w:r>
      <w:proofErr w:type="spellStart"/>
      <w:r w:rsidR="00D81DAD" w:rsidRPr="00781F4C">
        <w:rPr>
          <w:rFonts w:asciiTheme="majorBidi" w:hAnsiTheme="majorBidi" w:cstheme="majorBidi"/>
          <w:i/>
          <w:iCs/>
          <w:sz w:val="18"/>
          <w:szCs w:val="18"/>
          <w:lang w:val="en-US"/>
        </w:rPr>
        <w:t>Pollut</w:t>
      </w:r>
      <w:proofErr w:type="spellEnd"/>
      <w:r w:rsidR="00D81DAD" w:rsidRPr="00781F4C">
        <w:rPr>
          <w:rFonts w:asciiTheme="majorBidi" w:hAnsiTheme="majorBidi" w:cstheme="majorBidi"/>
          <w:i/>
          <w:iCs/>
          <w:sz w:val="18"/>
          <w:szCs w:val="18"/>
          <w:lang w:val="en-US"/>
        </w:rPr>
        <w:t xml:space="preserve"> Res</w:t>
      </w:r>
      <w:r w:rsidR="00072C0C" w:rsidRPr="00781F4C">
        <w:rPr>
          <w:rFonts w:asciiTheme="majorBidi" w:hAnsiTheme="majorBidi" w:cstheme="majorBidi"/>
          <w:i/>
          <w:iCs/>
          <w:sz w:val="18"/>
          <w:szCs w:val="18"/>
          <w:lang w:val="en-US"/>
        </w:rPr>
        <w:t>,</w:t>
      </w:r>
      <w:r w:rsidR="00EE481F" w:rsidRPr="00781F4C">
        <w:rPr>
          <w:rFonts w:asciiTheme="majorBidi" w:hAnsiTheme="majorBidi" w:cstheme="majorBidi"/>
          <w:sz w:val="18"/>
          <w:szCs w:val="18"/>
          <w:lang w:val="en-US"/>
        </w:rPr>
        <w:t xml:space="preserve"> 23:</w:t>
      </w:r>
      <w:r w:rsidR="00072C0C" w:rsidRPr="00781F4C">
        <w:rPr>
          <w:rFonts w:asciiTheme="majorBidi" w:hAnsiTheme="majorBidi" w:cstheme="majorBidi"/>
          <w:sz w:val="18"/>
          <w:szCs w:val="18"/>
          <w:lang w:val="en-US"/>
        </w:rPr>
        <w:t xml:space="preserve"> </w:t>
      </w:r>
      <w:r w:rsidR="00D81DAD" w:rsidRPr="00781F4C">
        <w:rPr>
          <w:rFonts w:asciiTheme="majorBidi" w:hAnsiTheme="majorBidi" w:cstheme="majorBidi"/>
          <w:sz w:val="18"/>
          <w:szCs w:val="18"/>
          <w:lang w:val="en-US"/>
        </w:rPr>
        <w:t>1203–1213. DOI 10.1007/s11356-015-5323-8.</w:t>
      </w:r>
    </w:p>
    <w:p w14:paraId="3DC9689D" w14:textId="05FAB363" w:rsidR="00295008" w:rsidRPr="00781F4C" w:rsidRDefault="00EE481F" w:rsidP="00B71320">
      <w:pPr>
        <w:spacing w:before="120"/>
        <w:ind w:left="284" w:hanging="284"/>
        <w:jc w:val="both"/>
        <w:rPr>
          <w:rFonts w:asciiTheme="majorBidi" w:hAnsiTheme="majorBidi" w:cstheme="majorBidi"/>
          <w:sz w:val="18"/>
          <w:szCs w:val="18"/>
          <w:lang w:val="en-US"/>
        </w:rPr>
      </w:pPr>
      <w:r w:rsidRPr="00781F4C">
        <w:rPr>
          <w:rFonts w:asciiTheme="majorBidi" w:hAnsiTheme="majorBidi" w:cstheme="majorBidi"/>
          <w:sz w:val="18"/>
          <w:szCs w:val="18"/>
          <w:lang w:val="en-US"/>
        </w:rPr>
        <w:t>Dogan B</w:t>
      </w:r>
      <w:r w:rsidR="00072C0C"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Madaleno M</w:t>
      </w:r>
      <w:r w:rsidR="00072C0C"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Tiwari AK</w:t>
      </w:r>
      <w:r w:rsidR="00072C0C"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Hammoudeh S</w:t>
      </w:r>
      <w:r w:rsidR="00072C0C"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xml:space="preserve"> (2020)</w:t>
      </w:r>
      <w:r w:rsidR="00072C0C" w:rsidRPr="00781F4C">
        <w:rPr>
          <w:rFonts w:asciiTheme="majorBidi" w:hAnsiTheme="majorBidi" w:cstheme="majorBidi"/>
          <w:sz w:val="18"/>
          <w:szCs w:val="18"/>
          <w:lang w:val="en-US"/>
        </w:rPr>
        <w:t>.</w:t>
      </w:r>
      <w:r w:rsidR="00295008" w:rsidRPr="00781F4C">
        <w:rPr>
          <w:rFonts w:asciiTheme="majorBidi" w:hAnsiTheme="majorBidi" w:cstheme="majorBidi"/>
          <w:sz w:val="18"/>
          <w:szCs w:val="18"/>
          <w:lang w:val="en-US"/>
        </w:rPr>
        <w:t xml:space="preserve"> Impacts of export quality on environmental degradation: does income </w:t>
      </w:r>
      <w:proofErr w:type="gramStart"/>
      <w:r w:rsidR="00295008" w:rsidRPr="00781F4C">
        <w:rPr>
          <w:rFonts w:asciiTheme="majorBidi" w:hAnsiTheme="majorBidi" w:cstheme="majorBidi"/>
          <w:sz w:val="18"/>
          <w:szCs w:val="18"/>
          <w:lang w:val="en-US"/>
        </w:rPr>
        <w:t>matter?</w:t>
      </w:r>
      <w:r w:rsidR="002C7CB0" w:rsidRPr="00781F4C">
        <w:rPr>
          <w:rFonts w:asciiTheme="majorBidi" w:hAnsiTheme="majorBidi" w:cstheme="majorBidi"/>
          <w:sz w:val="18"/>
          <w:szCs w:val="18"/>
          <w:lang w:val="en-US"/>
        </w:rPr>
        <w:t>.</w:t>
      </w:r>
      <w:proofErr w:type="gramEnd"/>
      <w:r w:rsidR="00295008" w:rsidRPr="00781F4C">
        <w:rPr>
          <w:rFonts w:asciiTheme="majorBidi" w:hAnsiTheme="majorBidi" w:cstheme="majorBidi"/>
          <w:sz w:val="18"/>
          <w:szCs w:val="18"/>
          <w:lang w:val="en-US"/>
        </w:rPr>
        <w:t xml:space="preserve"> </w:t>
      </w:r>
      <w:r w:rsidR="00295008" w:rsidRPr="00781F4C">
        <w:rPr>
          <w:rFonts w:asciiTheme="majorBidi" w:hAnsiTheme="majorBidi" w:cstheme="majorBidi"/>
          <w:i/>
          <w:iCs/>
          <w:sz w:val="18"/>
          <w:szCs w:val="18"/>
          <w:lang w:val="en-US"/>
        </w:rPr>
        <w:t>Environmental</w:t>
      </w:r>
      <w:r w:rsidRPr="00781F4C">
        <w:rPr>
          <w:rFonts w:asciiTheme="majorBidi" w:hAnsiTheme="majorBidi" w:cstheme="majorBidi"/>
          <w:i/>
          <w:iCs/>
          <w:sz w:val="18"/>
          <w:szCs w:val="18"/>
          <w:lang w:val="en-US"/>
        </w:rPr>
        <w:t xml:space="preserve"> Science and Pollution Research</w:t>
      </w:r>
      <w:r w:rsidR="002C7CB0" w:rsidRPr="00781F4C">
        <w:rPr>
          <w:rFonts w:asciiTheme="majorBidi" w:hAnsiTheme="majorBidi" w:cstheme="majorBidi"/>
          <w:sz w:val="18"/>
          <w:szCs w:val="18"/>
          <w:lang w:val="en-US"/>
        </w:rPr>
        <w:t xml:space="preserve">, </w:t>
      </w:r>
      <w:r w:rsidR="00295008" w:rsidRPr="00781F4C">
        <w:rPr>
          <w:rFonts w:asciiTheme="majorBidi" w:hAnsiTheme="majorBidi" w:cstheme="majorBidi"/>
          <w:sz w:val="18"/>
          <w:szCs w:val="18"/>
          <w:lang w:val="en-US"/>
        </w:rPr>
        <w:t>1-38. https://doi.org/10.1007/s11356-11019-07371-11355.</w:t>
      </w:r>
    </w:p>
    <w:p w14:paraId="256BC866" w14:textId="689CA18C" w:rsidR="00295008" w:rsidRPr="00781F4C" w:rsidRDefault="00EE481F" w:rsidP="00B71320">
      <w:pPr>
        <w:spacing w:before="120"/>
        <w:ind w:left="284" w:hanging="284"/>
        <w:jc w:val="both"/>
        <w:rPr>
          <w:rFonts w:asciiTheme="majorBidi" w:hAnsiTheme="majorBidi" w:cstheme="majorBidi"/>
          <w:sz w:val="18"/>
          <w:szCs w:val="18"/>
          <w:lang w:val="en-US"/>
        </w:rPr>
      </w:pPr>
      <w:r w:rsidRPr="00781F4C">
        <w:rPr>
          <w:rFonts w:asciiTheme="majorBidi" w:hAnsiTheme="majorBidi" w:cstheme="majorBidi"/>
          <w:sz w:val="18"/>
          <w:szCs w:val="18"/>
          <w:lang w:val="en-US"/>
        </w:rPr>
        <w:t>Fang J</w:t>
      </w:r>
      <w:r w:rsidR="002C7CB0"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xml:space="preserve">, </w:t>
      </w:r>
      <w:proofErr w:type="spellStart"/>
      <w:r w:rsidRPr="00781F4C">
        <w:rPr>
          <w:rFonts w:asciiTheme="majorBidi" w:hAnsiTheme="majorBidi" w:cstheme="majorBidi"/>
          <w:sz w:val="18"/>
          <w:szCs w:val="18"/>
          <w:lang w:val="en-US"/>
        </w:rPr>
        <w:t>Gozgor</w:t>
      </w:r>
      <w:proofErr w:type="spellEnd"/>
      <w:r w:rsidRPr="00781F4C">
        <w:rPr>
          <w:rFonts w:asciiTheme="majorBidi" w:hAnsiTheme="majorBidi" w:cstheme="majorBidi"/>
          <w:sz w:val="18"/>
          <w:szCs w:val="18"/>
          <w:lang w:val="en-US"/>
        </w:rPr>
        <w:t xml:space="preserve"> G</w:t>
      </w:r>
      <w:r w:rsidR="00892020"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Lu Z, Wu W</w:t>
      </w:r>
      <w:r w:rsidR="00892020"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xml:space="preserve"> (2019)</w:t>
      </w:r>
      <w:r w:rsidR="00892020" w:rsidRPr="00781F4C">
        <w:rPr>
          <w:rFonts w:asciiTheme="majorBidi" w:hAnsiTheme="majorBidi" w:cstheme="majorBidi"/>
          <w:sz w:val="18"/>
          <w:szCs w:val="18"/>
          <w:lang w:val="en-US"/>
        </w:rPr>
        <w:t>.</w:t>
      </w:r>
      <w:r w:rsidR="00295008" w:rsidRPr="00781F4C">
        <w:rPr>
          <w:rFonts w:asciiTheme="majorBidi" w:hAnsiTheme="majorBidi" w:cstheme="majorBidi"/>
          <w:sz w:val="18"/>
          <w:szCs w:val="18"/>
          <w:lang w:val="en-US"/>
        </w:rPr>
        <w:t xml:space="preserve"> Effects of the export product quality on carbon dioxide emissions: evidence from developing economies. Environmental</w:t>
      </w:r>
      <w:r w:rsidRPr="00781F4C">
        <w:rPr>
          <w:rFonts w:asciiTheme="majorBidi" w:hAnsiTheme="majorBidi" w:cstheme="majorBidi"/>
          <w:sz w:val="18"/>
          <w:szCs w:val="18"/>
          <w:lang w:val="en-US"/>
        </w:rPr>
        <w:t xml:space="preserve"> </w:t>
      </w:r>
      <w:r w:rsidRPr="00781F4C">
        <w:rPr>
          <w:rFonts w:asciiTheme="majorBidi" w:hAnsiTheme="majorBidi" w:cstheme="majorBidi"/>
          <w:i/>
          <w:iCs/>
          <w:sz w:val="18"/>
          <w:szCs w:val="18"/>
          <w:lang w:val="en-US"/>
        </w:rPr>
        <w:t>Science and Pollution Research</w:t>
      </w:r>
      <w:r w:rsidR="00892020" w:rsidRPr="00781F4C">
        <w:rPr>
          <w:rFonts w:asciiTheme="majorBidi" w:hAnsiTheme="majorBidi" w:cstheme="majorBidi"/>
          <w:sz w:val="18"/>
          <w:szCs w:val="18"/>
          <w:lang w:val="en-US"/>
        </w:rPr>
        <w:t xml:space="preserve">, </w:t>
      </w:r>
      <w:r w:rsidRPr="00781F4C">
        <w:rPr>
          <w:rFonts w:asciiTheme="majorBidi" w:hAnsiTheme="majorBidi" w:cstheme="majorBidi"/>
          <w:sz w:val="18"/>
          <w:szCs w:val="18"/>
          <w:lang w:val="en-US"/>
        </w:rPr>
        <w:t>26(12):</w:t>
      </w:r>
      <w:r w:rsidR="00892020" w:rsidRPr="00781F4C">
        <w:rPr>
          <w:rFonts w:asciiTheme="majorBidi" w:hAnsiTheme="majorBidi" w:cstheme="majorBidi"/>
          <w:sz w:val="18"/>
          <w:szCs w:val="18"/>
          <w:lang w:val="en-US"/>
        </w:rPr>
        <w:t xml:space="preserve"> </w:t>
      </w:r>
      <w:r w:rsidR="00295008" w:rsidRPr="00781F4C">
        <w:rPr>
          <w:rFonts w:asciiTheme="majorBidi" w:hAnsiTheme="majorBidi" w:cstheme="majorBidi"/>
          <w:sz w:val="18"/>
          <w:szCs w:val="18"/>
          <w:lang w:val="en-US"/>
        </w:rPr>
        <w:t xml:space="preserve">12181-12193. https://doi.org/12110.11007/s11356-12019-04513-12187. </w:t>
      </w:r>
    </w:p>
    <w:p w14:paraId="32F3C13B" w14:textId="354FA4ED" w:rsidR="00295008" w:rsidRPr="00781F4C" w:rsidRDefault="00EE481F" w:rsidP="00B71320">
      <w:pPr>
        <w:spacing w:before="120"/>
        <w:ind w:left="284" w:hanging="284"/>
        <w:jc w:val="both"/>
        <w:rPr>
          <w:rFonts w:asciiTheme="majorBidi" w:hAnsiTheme="majorBidi" w:cstheme="majorBidi"/>
          <w:sz w:val="18"/>
          <w:szCs w:val="18"/>
          <w:lang w:val="en-US"/>
        </w:rPr>
      </w:pPr>
      <w:r w:rsidRPr="00781F4C">
        <w:rPr>
          <w:rFonts w:asciiTheme="majorBidi" w:hAnsiTheme="majorBidi" w:cstheme="majorBidi"/>
          <w:sz w:val="18"/>
          <w:szCs w:val="18"/>
          <w:lang w:val="en-US"/>
        </w:rPr>
        <w:t>Frankel JA</w:t>
      </w:r>
      <w:r w:rsidR="00892020"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Rose AK</w:t>
      </w:r>
      <w:r w:rsidR="00892020"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xml:space="preserve"> (2005)</w:t>
      </w:r>
      <w:r w:rsidR="00892020"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xml:space="preserve"> Is</w:t>
      </w:r>
      <w:r w:rsidR="00295008" w:rsidRPr="00781F4C">
        <w:rPr>
          <w:rFonts w:asciiTheme="majorBidi" w:hAnsiTheme="majorBidi" w:cstheme="majorBidi"/>
          <w:sz w:val="18"/>
          <w:szCs w:val="18"/>
          <w:lang w:val="en-US"/>
        </w:rPr>
        <w:t xml:space="preserve"> trade good or bad for the environment? Sorting out the causality. </w:t>
      </w:r>
      <w:r w:rsidR="00295008" w:rsidRPr="00781F4C">
        <w:rPr>
          <w:rFonts w:asciiTheme="majorBidi" w:hAnsiTheme="majorBidi" w:cstheme="majorBidi"/>
          <w:i/>
          <w:iCs/>
          <w:sz w:val="18"/>
          <w:szCs w:val="18"/>
          <w:lang w:val="en-US"/>
        </w:rPr>
        <w:t>Review of Economics and S</w:t>
      </w:r>
      <w:r w:rsidRPr="00781F4C">
        <w:rPr>
          <w:rFonts w:asciiTheme="majorBidi" w:hAnsiTheme="majorBidi" w:cstheme="majorBidi"/>
          <w:i/>
          <w:iCs/>
          <w:sz w:val="18"/>
          <w:szCs w:val="18"/>
          <w:lang w:val="en-US"/>
        </w:rPr>
        <w:t>tatistics</w:t>
      </w:r>
      <w:r w:rsidR="00892020"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xml:space="preserve"> 87(1):</w:t>
      </w:r>
      <w:r w:rsidR="00295008" w:rsidRPr="00781F4C">
        <w:rPr>
          <w:rFonts w:asciiTheme="majorBidi" w:hAnsiTheme="majorBidi" w:cstheme="majorBidi"/>
          <w:sz w:val="18"/>
          <w:szCs w:val="18"/>
          <w:lang w:val="en-US"/>
        </w:rPr>
        <w:t xml:space="preserve">85-91. https://doi.org/10.1162/0034653053327577. </w:t>
      </w:r>
    </w:p>
    <w:p w14:paraId="4C48B58C" w14:textId="2E2C2A5A" w:rsidR="00295008" w:rsidRPr="00781F4C" w:rsidRDefault="00EE481F" w:rsidP="00B71320">
      <w:pPr>
        <w:spacing w:before="120"/>
        <w:ind w:left="284" w:hanging="284"/>
        <w:jc w:val="both"/>
        <w:rPr>
          <w:rFonts w:asciiTheme="majorBidi" w:hAnsiTheme="majorBidi" w:cstheme="majorBidi"/>
          <w:sz w:val="18"/>
          <w:szCs w:val="18"/>
          <w:lang w:val="en-US"/>
        </w:rPr>
      </w:pPr>
      <w:r w:rsidRPr="00781F4C">
        <w:rPr>
          <w:rFonts w:asciiTheme="majorBidi" w:hAnsiTheme="majorBidi" w:cstheme="majorBidi"/>
          <w:sz w:val="18"/>
          <w:szCs w:val="18"/>
          <w:lang w:val="en-US"/>
        </w:rPr>
        <w:t>Global Footprint Network (GFN)</w:t>
      </w:r>
      <w:r w:rsidR="00892020"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xml:space="preserve"> (2020)</w:t>
      </w:r>
      <w:r w:rsidR="00892020" w:rsidRPr="00781F4C">
        <w:rPr>
          <w:rFonts w:asciiTheme="majorBidi" w:hAnsiTheme="majorBidi" w:cstheme="majorBidi"/>
          <w:sz w:val="18"/>
          <w:szCs w:val="18"/>
          <w:lang w:val="en-US"/>
        </w:rPr>
        <w:t>.</w:t>
      </w:r>
      <w:r w:rsidR="00295008" w:rsidRPr="00781F4C">
        <w:rPr>
          <w:rFonts w:asciiTheme="majorBidi" w:hAnsiTheme="majorBidi" w:cstheme="majorBidi"/>
          <w:sz w:val="18"/>
          <w:szCs w:val="18"/>
          <w:lang w:val="en-US"/>
        </w:rPr>
        <w:t xml:space="preserve"> URL: https://www.footprintnetwork.org/resources/data/.</w:t>
      </w:r>
    </w:p>
    <w:p w14:paraId="173B476D" w14:textId="5930E052" w:rsidR="00FA09F9" w:rsidRPr="00781F4C" w:rsidRDefault="00EE481F" w:rsidP="00B71320">
      <w:pPr>
        <w:spacing w:before="120"/>
        <w:ind w:left="284" w:hanging="284"/>
        <w:jc w:val="both"/>
        <w:rPr>
          <w:rFonts w:asciiTheme="majorBidi" w:eastAsia="Calibri" w:hAnsiTheme="majorBidi" w:cstheme="majorBidi"/>
          <w:sz w:val="18"/>
          <w:szCs w:val="18"/>
          <w:shd w:val="clear" w:color="auto" w:fill="FFFFFF"/>
          <w:lang w:val="en-US" w:eastAsia="en-US"/>
        </w:rPr>
      </w:pPr>
      <w:r w:rsidRPr="00781F4C">
        <w:rPr>
          <w:rFonts w:asciiTheme="majorBidi" w:hAnsiTheme="majorBidi" w:cstheme="majorBidi"/>
          <w:sz w:val="18"/>
          <w:szCs w:val="18"/>
        </w:rPr>
        <w:t>Gómez M</w:t>
      </w:r>
      <w:r w:rsidR="00892020" w:rsidRPr="00781F4C">
        <w:rPr>
          <w:rFonts w:asciiTheme="majorBidi" w:hAnsiTheme="majorBidi" w:cstheme="majorBidi"/>
          <w:sz w:val="18"/>
          <w:szCs w:val="18"/>
        </w:rPr>
        <w:t>.</w:t>
      </w:r>
      <w:r w:rsidR="003C215C" w:rsidRPr="00781F4C">
        <w:rPr>
          <w:rFonts w:asciiTheme="majorBidi" w:hAnsiTheme="majorBidi" w:cstheme="majorBidi"/>
          <w:sz w:val="18"/>
          <w:szCs w:val="18"/>
        </w:rPr>
        <w:t xml:space="preserve">, </w:t>
      </w:r>
      <w:r w:rsidRPr="00781F4C">
        <w:rPr>
          <w:rFonts w:asciiTheme="majorBidi" w:hAnsiTheme="majorBidi" w:cstheme="majorBidi"/>
          <w:sz w:val="18"/>
          <w:szCs w:val="18"/>
        </w:rPr>
        <w:t>Rodríguez JC</w:t>
      </w:r>
      <w:r w:rsidR="00892020" w:rsidRPr="00781F4C">
        <w:rPr>
          <w:rFonts w:asciiTheme="majorBidi" w:hAnsiTheme="majorBidi" w:cstheme="majorBidi"/>
          <w:sz w:val="18"/>
          <w:szCs w:val="18"/>
        </w:rPr>
        <w:t>.</w:t>
      </w:r>
      <w:r w:rsidRPr="00781F4C">
        <w:rPr>
          <w:rFonts w:asciiTheme="majorBidi" w:hAnsiTheme="majorBidi" w:cstheme="majorBidi"/>
          <w:sz w:val="18"/>
          <w:szCs w:val="18"/>
        </w:rPr>
        <w:t xml:space="preserve"> (2020)</w:t>
      </w:r>
      <w:r w:rsidR="00892020" w:rsidRPr="00781F4C">
        <w:rPr>
          <w:rFonts w:asciiTheme="majorBidi" w:hAnsiTheme="majorBidi" w:cstheme="majorBidi"/>
          <w:sz w:val="18"/>
          <w:szCs w:val="18"/>
        </w:rPr>
        <w:t>.</w:t>
      </w:r>
      <w:r w:rsidR="003C215C" w:rsidRPr="00781F4C">
        <w:rPr>
          <w:rFonts w:asciiTheme="majorBidi" w:hAnsiTheme="majorBidi" w:cstheme="majorBidi"/>
          <w:sz w:val="18"/>
          <w:szCs w:val="18"/>
        </w:rPr>
        <w:t xml:space="preserve"> </w:t>
      </w:r>
      <w:r w:rsidR="00FA09F9" w:rsidRPr="00781F4C">
        <w:rPr>
          <w:rFonts w:asciiTheme="majorBidi" w:hAnsiTheme="majorBidi" w:cstheme="majorBidi"/>
          <w:sz w:val="18"/>
          <w:szCs w:val="18"/>
          <w:lang w:val="en-US"/>
        </w:rPr>
        <w:t>The Ecological Footprint and Kuznets Environmental</w:t>
      </w:r>
      <w:r w:rsidR="003C215C" w:rsidRPr="00781F4C">
        <w:rPr>
          <w:rFonts w:asciiTheme="majorBidi" w:hAnsiTheme="majorBidi" w:cstheme="majorBidi"/>
          <w:sz w:val="18"/>
          <w:szCs w:val="18"/>
          <w:lang w:val="en-US"/>
        </w:rPr>
        <w:t xml:space="preserve"> </w:t>
      </w:r>
      <w:r w:rsidR="00FA09F9" w:rsidRPr="00781F4C">
        <w:rPr>
          <w:rFonts w:asciiTheme="majorBidi" w:hAnsiTheme="majorBidi" w:cstheme="majorBidi"/>
          <w:sz w:val="18"/>
          <w:szCs w:val="18"/>
          <w:lang w:val="en-US"/>
        </w:rPr>
        <w:t xml:space="preserve">Curve in the USMCA Countries: A Method of Moments Quantile Regression Analysis. </w:t>
      </w:r>
      <w:r w:rsidR="00FA09F9" w:rsidRPr="00781F4C">
        <w:rPr>
          <w:rFonts w:asciiTheme="majorBidi" w:hAnsiTheme="majorBidi" w:cstheme="majorBidi"/>
          <w:i/>
          <w:iCs/>
          <w:sz w:val="18"/>
          <w:szCs w:val="18"/>
          <w:lang w:val="en-US"/>
        </w:rPr>
        <w:t>Moments Quantile Regression Analysis Energies</w:t>
      </w:r>
      <w:r w:rsidR="00892020" w:rsidRPr="00781F4C">
        <w:rPr>
          <w:rFonts w:asciiTheme="majorBidi" w:hAnsiTheme="majorBidi" w:cstheme="majorBidi"/>
          <w:i/>
          <w:iCs/>
          <w:sz w:val="18"/>
          <w:szCs w:val="18"/>
          <w:lang w:val="en-US"/>
        </w:rPr>
        <w:t>,</w:t>
      </w:r>
      <w:r w:rsidR="00FA09F9" w:rsidRPr="00781F4C">
        <w:rPr>
          <w:rFonts w:asciiTheme="majorBidi" w:hAnsiTheme="majorBidi" w:cstheme="majorBidi"/>
          <w:sz w:val="18"/>
          <w:szCs w:val="18"/>
          <w:lang w:val="en-US"/>
        </w:rPr>
        <w:t xml:space="preserve"> 13</w:t>
      </w:r>
      <w:r w:rsidRPr="00781F4C">
        <w:rPr>
          <w:rFonts w:asciiTheme="majorBidi" w:hAnsiTheme="majorBidi" w:cstheme="majorBidi"/>
          <w:sz w:val="18"/>
          <w:szCs w:val="18"/>
          <w:lang w:val="en-US"/>
        </w:rPr>
        <w:t>(24):</w:t>
      </w:r>
      <w:r w:rsidR="00FA09F9" w:rsidRPr="00781F4C">
        <w:rPr>
          <w:rFonts w:asciiTheme="majorBidi" w:hAnsiTheme="majorBidi" w:cstheme="majorBidi"/>
          <w:sz w:val="18"/>
          <w:szCs w:val="18"/>
          <w:lang w:val="en-US"/>
        </w:rPr>
        <w:t xml:space="preserve">6650. </w:t>
      </w:r>
      <w:hyperlink r:id="rId13" w:history="1">
        <w:r w:rsidR="00FA09F9" w:rsidRPr="00781F4C">
          <w:rPr>
            <w:rFonts w:asciiTheme="majorBidi" w:hAnsiTheme="majorBidi" w:cstheme="majorBidi"/>
            <w:sz w:val="18"/>
            <w:szCs w:val="18"/>
            <w:lang w:val="en-US"/>
          </w:rPr>
          <w:t>https://doi.org/10.3390/en13246650</w:t>
        </w:r>
      </w:hyperlink>
      <w:r w:rsidR="00FA09F9" w:rsidRPr="00781F4C">
        <w:rPr>
          <w:rFonts w:asciiTheme="majorBidi" w:hAnsiTheme="majorBidi" w:cstheme="majorBidi"/>
          <w:sz w:val="18"/>
          <w:szCs w:val="18"/>
          <w:lang w:val="en-US"/>
        </w:rPr>
        <w:t>.</w:t>
      </w:r>
    </w:p>
    <w:p w14:paraId="1C698FC8" w14:textId="0A8207FB" w:rsidR="00295008" w:rsidRPr="00781F4C" w:rsidRDefault="00EE481F" w:rsidP="00B71320">
      <w:pPr>
        <w:spacing w:before="120"/>
        <w:ind w:left="284" w:hanging="284"/>
        <w:jc w:val="both"/>
        <w:rPr>
          <w:rFonts w:asciiTheme="majorBidi" w:hAnsiTheme="majorBidi" w:cstheme="majorBidi"/>
          <w:sz w:val="18"/>
          <w:szCs w:val="18"/>
          <w:lang w:val="en-US"/>
        </w:rPr>
      </w:pPr>
      <w:proofErr w:type="spellStart"/>
      <w:r w:rsidRPr="00781F4C">
        <w:rPr>
          <w:rFonts w:asciiTheme="majorBidi" w:hAnsiTheme="majorBidi" w:cstheme="majorBidi"/>
          <w:sz w:val="18"/>
          <w:szCs w:val="18"/>
          <w:lang w:val="en-US"/>
        </w:rPr>
        <w:t>Gozgor</w:t>
      </w:r>
      <w:proofErr w:type="spellEnd"/>
      <w:r w:rsidRPr="00781F4C">
        <w:rPr>
          <w:rFonts w:asciiTheme="majorBidi" w:hAnsiTheme="majorBidi" w:cstheme="majorBidi"/>
          <w:sz w:val="18"/>
          <w:szCs w:val="18"/>
          <w:lang w:val="en-US"/>
        </w:rPr>
        <w:t xml:space="preserve"> G</w:t>
      </w:r>
      <w:r w:rsidR="00892020"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Can M</w:t>
      </w:r>
      <w:r w:rsidR="00892020"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(2017)</w:t>
      </w:r>
      <w:r w:rsidR="00892020" w:rsidRPr="00781F4C">
        <w:rPr>
          <w:rFonts w:asciiTheme="majorBidi" w:hAnsiTheme="majorBidi" w:cstheme="majorBidi"/>
          <w:sz w:val="18"/>
          <w:szCs w:val="18"/>
          <w:lang w:val="en-US"/>
        </w:rPr>
        <w:t>.</w:t>
      </w:r>
      <w:r w:rsidR="00295008" w:rsidRPr="00781F4C">
        <w:rPr>
          <w:rFonts w:asciiTheme="majorBidi" w:hAnsiTheme="majorBidi" w:cstheme="majorBidi"/>
          <w:sz w:val="18"/>
          <w:szCs w:val="18"/>
          <w:lang w:val="en-US"/>
        </w:rPr>
        <w:t xml:space="preserve"> Does export product quality matter for CO2 emissions? Evidence from China. </w:t>
      </w:r>
      <w:r w:rsidR="00295008" w:rsidRPr="00781F4C">
        <w:rPr>
          <w:rFonts w:asciiTheme="majorBidi" w:hAnsiTheme="majorBidi" w:cstheme="majorBidi"/>
          <w:i/>
          <w:iCs/>
          <w:sz w:val="18"/>
          <w:szCs w:val="18"/>
          <w:lang w:val="en-US"/>
        </w:rPr>
        <w:t>Environmental</w:t>
      </w:r>
      <w:r w:rsidRPr="00781F4C">
        <w:rPr>
          <w:rFonts w:asciiTheme="majorBidi" w:hAnsiTheme="majorBidi" w:cstheme="majorBidi"/>
          <w:i/>
          <w:iCs/>
          <w:sz w:val="18"/>
          <w:szCs w:val="18"/>
          <w:lang w:val="en-US"/>
        </w:rPr>
        <w:t xml:space="preserve"> Science and Pollution Research</w:t>
      </w:r>
      <w:r w:rsidR="00892020" w:rsidRPr="00781F4C">
        <w:rPr>
          <w:rFonts w:asciiTheme="majorBidi" w:hAnsiTheme="majorBidi" w:cstheme="majorBidi"/>
          <w:sz w:val="18"/>
          <w:szCs w:val="18"/>
          <w:lang w:val="en-US"/>
        </w:rPr>
        <w:t>,</w:t>
      </w:r>
      <w:r w:rsidR="00295008" w:rsidRPr="00781F4C">
        <w:rPr>
          <w:rFonts w:asciiTheme="majorBidi" w:hAnsiTheme="majorBidi" w:cstheme="majorBidi"/>
          <w:sz w:val="18"/>
          <w:szCs w:val="18"/>
          <w:lang w:val="en-US"/>
        </w:rPr>
        <w:t xml:space="preserve"> 24(3):2866–2875.</w:t>
      </w:r>
      <w:r w:rsidR="003C215C" w:rsidRPr="00781F4C">
        <w:rPr>
          <w:rFonts w:asciiTheme="majorBidi" w:hAnsiTheme="majorBidi" w:cstheme="majorBidi"/>
          <w:sz w:val="18"/>
          <w:szCs w:val="18"/>
          <w:lang w:val="en-US"/>
        </w:rPr>
        <w:t xml:space="preserve"> </w:t>
      </w:r>
      <w:hyperlink r:id="rId14" w:history="1">
        <w:r w:rsidR="00295008" w:rsidRPr="00781F4C">
          <w:rPr>
            <w:rStyle w:val="Hyperlink"/>
            <w:rFonts w:asciiTheme="majorBidi" w:hAnsiTheme="majorBidi" w:cstheme="majorBidi"/>
            <w:color w:val="auto"/>
            <w:sz w:val="18"/>
            <w:szCs w:val="18"/>
            <w:u w:val="none"/>
            <w:lang w:val="en-US"/>
          </w:rPr>
          <w:t>https://doi.org/10.1007/s11356-016-8070-6</w:t>
        </w:r>
      </w:hyperlink>
      <w:r w:rsidR="00295008" w:rsidRPr="00781F4C">
        <w:rPr>
          <w:rFonts w:asciiTheme="majorBidi" w:hAnsiTheme="majorBidi" w:cstheme="majorBidi"/>
          <w:sz w:val="18"/>
          <w:szCs w:val="18"/>
          <w:lang w:val="en-US"/>
        </w:rPr>
        <w:t>.</w:t>
      </w:r>
    </w:p>
    <w:p w14:paraId="5713D1D9" w14:textId="1E79C28B" w:rsidR="00C344E9" w:rsidRPr="00CF6621" w:rsidRDefault="00C344E9" w:rsidP="00B71320">
      <w:pPr>
        <w:spacing w:before="120"/>
        <w:ind w:left="284" w:hanging="284"/>
        <w:jc w:val="both"/>
        <w:rPr>
          <w:rFonts w:asciiTheme="majorBidi" w:hAnsiTheme="majorBidi" w:cstheme="majorBidi"/>
          <w:color w:val="000000" w:themeColor="text1"/>
          <w:sz w:val="18"/>
          <w:szCs w:val="18"/>
          <w:lang w:val="en-US"/>
        </w:rPr>
      </w:pPr>
      <w:proofErr w:type="spellStart"/>
      <w:r w:rsidRPr="00781F4C">
        <w:rPr>
          <w:rFonts w:asciiTheme="majorBidi" w:hAnsiTheme="majorBidi" w:cstheme="majorBidi"/>
          <w:sz w:val="18"/>
          <w:szCs w:val="18"/>
          <w:lang w:val="en-US"/>
        </w:rPr>
        <w:lastRenderedPageBreak/>
        <w:t>Guloglu</w:t>
      </w:r>
      <w:proofErr w:type="spellEnd"/>
      <w:r w:rsidRPr="00781F4C">
        <w:rPr>
          <w:rFonts w:asciiTheme="majorBidi" w:hAnsiTheme="majorBidi" w:cstheme="majorBidi"/>
          <w:sz w:val="18"/>
          <w:szCs w:val="18"/>
          <w:lang w:val="en-US"/>
        </w:rPr>
        <w:t>, B., &amp; Tekin, R. B. (2012). A panel causality analysis of the relationship among research and development, innovation, and economic growth in high-income OECD countries. Eurasian Economic Review, 2(1), 32-47.</w:t>
      </w:r>
      <w:r w:rsidRPr="00781F4C">
        <w:rPr>
          <w:rFonts w:asciiTheme="majorBidi" w:hAnsiTheme="majorBidi" w:cstheme="majorBidi"/>
          <w:sz w:val="18"/>
          <w:szCs w:val="18"/>
          <w:rtl/>
          <w:lang w:val="en-US"/>
        </w:rPr>
        <w:t>‏</w:t>
      </w:r>
      <w:r w:rsidRPr="00781F4C">
        <w:t xml:space="preserve"> </w:t>
      </w:r>
      <w:hyperlink r:id="rId15" w:history="1">
        <w:r w:rsidR="00573A9B" w:rsidRPr="00CF6621">
          <w:rPr>
            <w:rStyle w:val="Hyperlink"/>
            <w:rFonts w:asciiTheme="majorBidi" w:hAnsiTheme="majorBidi" w:cstheme="majorBidi"/>
            <w:color w:val="000000" w:themeColor="text1"/>
            <w:sz w:val="18"/>
            <w:szCs w:val="18"/>
            <w:lang w:val="en-US"/>
          </w:rPr>
          <w:t>https://link.springer.com/article/10.14208/BF03353831</w:t>
        </w:r>
      </w:hyperlink>
      <w:r w:rsidRPr="00CF6621">
        <w:rPr>
          <w:rFonts w:asciiTheme="majorBidi" w:hAnsiTheme="majorBidi" w:cstheme="majorBidi"/>
          <w:color w:val="000000" w:themeColor="text1"/>
          <w:sz w:val="18"/>
          <w:szCs w:val="18"/>
          <w:lang w:val="en-US"/>
        </w:rPr>
        <w:t>.</w:t>
      </w:r>
    </w:p>
    <w:p w14:paraId="45C873EB" w14:textId="06BA111E" w:rsidR="00573A9B" w:rsidRPr="00781F4C" w:rsidRDefault="00573A9B" w:rsidP="00781F4C">
      <w:pPr>
        <w:spacing w:before="120"/>
        <w:ind w:left="284" w:hanging="284"/>
        <w:rPr>
          <w:rFonts w:asciiTheme="majorBidi" w:hAnsiTheme="majorBidi" w:cstheme="majorBidi"/>
          <w:sz w:val="18"/>
          <w:szCs w:val="18"/>
          <w:lang w:val="en-US"/>
        </w:rPr>
      </w:pPr>
      <w:r w:rsidRPr="00781F4C">
        <w:rPr>
          <w:rFonts w:asciiTheme="majorBidi" w:hAnsiTheme="majorBidi" w:cstheme="majorBidi"/>
          <w:sz w:val="18"/>
          <w:szCs w:val="18"/>
          <w:lang w:val="en-US"/>
        </w:rPr>
        <w:t>Hallak, J. C. (2006). Product quality and the direction of trade,” Journal of International Economics, 68, 238–65.</w:t>
      </w:r>
    </w:p>
    <w:p w14:paraId="232D4014" w14:textId="26A731F9" w:rsidR="00295008" w:rsidRPr="00781F4C" w:rsidRDefault="00EE481F" w:rsidP="00B71320">
      <w:pPr>
        <w:spacing w:before="120"/>
        <w:ind w:left="284" w:hanging="284"/>
        <w:jc w:val="both"/>
        <w:rPr>
          <w:rFonts w:asciiTheme="majorBidi" w:hAnsiTheme="majorBidi" w:cstheme="majorBidi"/>
          <w:sz w:val="18"/>
          <w:szCs w:val="18"/>
          <w:lang w:val="en-US"/>
        </w:rPr>
      </w:pPr>
      <w:r w:rsidRPr="00781F4C">
        <w:rPr>
          <w:rFonts w:asciiTheme="majorBidi" w:hAnsiTheme="majorBidi" w:cstheme="majorBidi"/>
          <w:sz w:val="18"/>
          <w:szCs w:val="18"/>
          <w:lang w:val="en-US"/>
        </w:rPr>
        <w:t>Hassan ST</w:t>
      </w:r>
      <w:r w:rsidR="00ED1AEF"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Baloch</w:t>
      </w:r>
      <w:r w:rsidR="00295008" w:rsidRPr="00781F4C">
        <w:rPr>
          <w:rFonts w:asciiTheme="majorBidi" w:hAnsiTheme="majorBidi" w:cstheme="majorBidi"/>
          <w:sz w:val="18"/>
          <w:szCs w:val="18"/>
          <w:lang w:val="en-US"/>
        </w:rPr>
        <w:t xml:space="preserve"> M</w:t>
      </w:r>
      <w:r w:rsidRPr="00781F4C">
        <w:rPr>
          <w:rFonts w:asciiTheme="majorBidi" w:hAnsiTheme="majorBidi" w:cstheme="majorBidi"/>
          <w:sz w:val="18"/>
          <w:szCs w:val="18"/>
          <w:lang w:val="en-US"/>
        </w:rPr>
        <w:t>A</w:t>
      </w:r>
      <w:r w:rsidR="00ED1AEF"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Mahmood N</w:t>
      </w:r>
      <w:r w:rsidR="00ED1AEF"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Zhang J</w:t>
      </w:r>
      <w:r w:rsidR="00ED1AEF"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xml:space="preserve"> (2019)</w:t>
      </w:r>
      <w:r w:rsidR="00ED1AEF" w:rsidRPr="00781F4C">
        <w:rPr>
          <w:rFonts w:asciiTheme="majorBidi" w:hAnsiTheme="majorBidi" w:cstheme="majorBidi"/>
          <w:sz w:val="18"/>
          <w:szCs w:val="18"/>
          <w:lang w:val="en-US"/>
        </w:rPr>
        <w:t>.</w:t>
      </w:r>
      <w:r w:rsidR="00295008" w:rsidRPr="00781F4C">
        <w:rPr>
          <w:rFonts w:asciiTheme="majorBidi" w:hAnsiTheme="majorBidi" w:cstheme="majorBidi"/>
          <w:sz w:val="18"/>
          <w:szCs w:val="18"/>
          <w:lang w:val="en-US"/>
        </w:rPr>
        <w:t xml:space="preserve"> Linking economic growth and ecological footprint through human capital and biocapacity.</w:t>
      </w:r>
      <w:r w:rsidRPr="00781F4C">
        <w:rPr>
          <w:rFonts w:asciiTheme="majorBidi" w:hAnsiTheme="majorBidi" w:cstheme="majorBidi"/>
          <w:sz w:val="18"/>
          <w:szCs w:val="18"/>
          <w:lang w:val="en-US"/>
        </w:rPr>
        <w:t xml:space="preserve"> </w:t>
      </w:r>
      <w:r w:rsidRPr="00781F4C">
        <w:rPr>
          <w:rFonts w:asciiTheme="majorBidi" w:hAnsiTheme="majorBidi" w:cstheme="majorBidi"/>
          <w:i/>
          <w:iCs/>
          <w:sz w:val="18"/>
          <w:szCs w:val="18"/>
          <w:lang w:val="en-US"/>
        </w:rPr>
        <w:t>Sustainable Cities and Society</w:t>
      </w:r>
      <w:r w:rsidR="00ED1AEF" w:rsidRPr="00781F4C">
        <w:rPr>
          <w:rFonts w:asciiTheme="majorBidi" w:hAnsiTheme="majorBidi" w:cstheme="majorBidi"/>
          <w:sz w:val="18"/>
          <w:szCs w:val="18"/>
          <w:lang w:val="en-US"/>
        </w:rPr>
        <w:t xml:space="preserve">, </w:t>
      </w:r>
      <w:r w:rsidRPr="00781F4C">
        <w:rPr>
          <w:rFonts w:asciiTheme="majorBidi" w:hAnsiTheme="majorBidi" w:cstheme="majorBidi"/>
          <w:sz w:val="18"/>
          <w:szCs w:val="18"/>
          <w:lang w:val="en-US"/>
        </w:rPr>
        <w:t>47:</w:t>
      </w:r>
      <w:r w:rsidR="00295008" w:rsidRPr="00781F4C">
        <w:rPr>
          <w:rFonts w:asciiTheme="majorBidi" w:hAnsiTheme="majorBidi" w:cstheme="majorBidi"/>
          <w:sz w:val="18"/>
          <w:szCs w:val="18"/>
          <w:lang w:val="en-US"/>
        </w:rPr>
        <w:t xml:space="preserve">101516. </w:t>
      </w:r>
      <w:hyperlink r:id="rId16" w:history="1">
        <w:r w:rsidR="0058127C" w:rsidRPr="00781F4C">
          <w:rPr>
            <w:rFonts w:asciiTheme="majorBidi" w:hAnsiTheme="majorBidi" w:cstheme="majorBidi"/>
            <w:sz w:val="18"/>
            <w:szCs w:val="18"/>
            <w:lang w:val="en-US"/>
          </w:rPr>
          <w:t>https://doi.org/101510.101016/j.scs.102019.101516</w:t>
        </w:r>
      </w:hyperlink>
      <w:r w:rsidR="00295008" w:rsidRPr="00781F4C">
        <w:rPr>
          <w:rFonts w:asciiTheme="majorBidi" w:hAnsiTheme="majorBidi" w:cstheme="majorBidi"/>
          <w:sz w:val="18"/>
          <w:szCs w:val="18"/>
          <w:lang w:val="en-US"/>
        </w:rPr>
        <w:t>.</w:t>
      </w:r>
    </w:p>
    <w:p w14:paraId="73414F50" w14:textId="3DDD62B6" w:rsidR="0058127C" w:rsidRPr="00781F4C" w:rsidRDefault="00EE481F" w:rsidP="00B71320">
      <w:pPr>
        <w:spacing w:before="120"/>
        <w:ind w:left="284" w:hanging="284"/>
        <w:jc w:val="both"/>
        <w:rPr>
          <w:rFonts w:asciiTheme="majorBidi" w:hAnsiTheme="majorBidi" w:cstheme="majorBidi"/>
          <w:sz w:val="18"/>
          <w:szCs w:val="18"/>
          <w:lang w:val="en-US"/>
        </w:rPr>
      </w:pPr>
      <w:r w:rsidRPr="00781F4C">
        <w:rPr>
          <w:rFonts w:asciiTheme="majorBidi" w:hAnsiTheme="majorBidi" w:cstheme="majorBidi"/>
          <w:sz w:val="18"/>
          <w:szCs w:val="18"/>
          <w:lang w:val="en-US"/>
        </w:rPr>
        <w:t>Hausmann R</w:t>
      </w:r>
      <w:r w:rsidR="00ED1AEF"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Hidalgo CA</w:t>
      </w:r>
      <w:r w:rsidR="00ED1AEF"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Bustos S</w:t>
      </w:r>
      <w:r w:rsidR="00ED1AEF"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Coscia M</w:t>
      </w:r>
      <w:r w:rsidR="00ED1AEF"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Simoes A</w:t>
      </w:r>
      <w:r w:rsidR="00ED1AEF"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Yildirim MA</w:t>
      </w:r>
      <w:r w:rsidR="00ED1AEF"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xml:space="preserve"> (2014)</w:t>
      </w:r>
      <w:r w:rsidR="00ED1AEF" w:rsidRPr="00781F4C">
        <w:rPr>
          <w:rFonts w:asciiTheme="majorBidi" w:hAnsiTheme="majorBidi" w:cstheme="majorBidi"/>
          <w:sz w:val="18"/>
          <w:szCs w:val="18"/>
          <w:lang w:val="en-US"/>
        </w:rPr>
        <w:t>.</w:t>
      </w:r>
      <w:r w:rsidR="0058127C" w:rsidRPr="00781F4C">
        <w:rPr>
          <w:rFonts w:asciiTheme="majorBidi" w:hAnsiTheme="majorBidi" w:cstheme="majorBidi"/>
          <w:sz w:val="18"/>
          <w:szCs w:val="18"/>
          <w:lang w:val="en-US"/>
        </w:rPr>
        <w:t xml:space="preserve"> The Atlas of Economic Complexity: Mapping Paths to Prosperity; </w:t>
      </w:r>
      <w:r w:rsidR="0058127C" w:rsidRPr="00781F4C">
        <w:rPr>
          <w:rFonts w:asciiTheme="majorBidi" w:hAnsiTheme="majorBidi" w:cstheme="majorBidi"/>
          <w:i/>
          <w:iCs/>
          <w:sz w:val="18"/>
          <w:szCs w:val="18"/>
          <w:lang w:val="en-US"/>
        </w:rPr>
        <w:t>MIT Press: Cambridge</w:t>
      </w:r>
      <w:r w:rsidR="0058127C" w:rsidRPr="00781F4C">
        <w:rPr>
          <w:rFonts w:asciiTheme="majorBidi" w:hAnsiTheme="majorBidi" w:cstheme="majorBidi"/>
          <w:sz w:val="18"/>
          <w:szCs w:val="18"/>
          <w:lang w:val="en-US"/>
        </w:rPr>
        <w:t>, MA, USA.</w:t>
      </w:r>
    </w:p>
    <w:p w14:paraId="08946ACE" w14:textId="72410C4D" w:rsidR="00573A9B" w:rsidRPr="00781F4C" w:rsidRDefault="00573A9B" w:rsidP="00B71320">
      <w:pPr>
        <w:spacing w:before="120"/>
        <w:ind w:left="284" w:hanging="284"/>
        <w:jc w:val="both"/>
        <w:rPr>
          <w:rFonts w:asciiTheme="majorBidi" w:hAnsiTheme="majorBidi" w:cstheme="majorBidi"/>
          <w:sz w:val="18"/>
          <w:szCs w:val="18"/>
          <w:lang w:val="en-US"/>
        </w:rPr>
      </w:pPr>
      <w:r w:rsidRPr="00781F4C">
        <w:rPr>
          <w:rFonts w:asciiTheme="majorBidi" w:hAnsiTheme="majorBidi" w:cstheme="majorBidi"/>
          <w:sz w:val="18"/>
          <w:szCs w:val="18"/>
          <w:lang w:val="en-US"/>
        </w:rPr>
        <w:t>Henn, C., Papageorgiou, M. C., &amp; Spatafora, M. N. (2013). Export quality in developing countries. International Monetary Fund.</w:t>
      </w:r>
      <w:r w:rsidRPr="00781F4C">
        <w:t xml:space="preserve"> </w:t>
      </w:r>
      <w:r w:rsidRPr="00781F4C">
        <w:rPr>
          <w:rFonts w:asciiTheme="majorBidi" w:hAnsiTheme="majorBidi" w:cstheme="majorBidi"/>
          <w:sz w:val="18"/>
          <w:szCs w:val="18"/>
          <w:lang w:val="en-US"/>
        </w:rPr>
        <w:t>https://books.google.com/books?hl=en&amp;lr=&amp;id=slaYuinTyPIC&amp;oi=fnd&amp;pg=PP8&amp;dq=Export+Quality+in+Developing+Countries+&amp;ots=NusExXQxtS&amp;sig=oeSUIolmnJjSaXsRaDsEJaR4Ww8#v=onepage&amp;q=Export%20Quality%20in%20Developing%20Countries&amp;f=false</w:t>
      </w:r>
      <w:r w:rsidR="00EF7BE4">
        <w:rPr>
          <w:rFonts w:asciiTheme="majorBidi" w:hAnsiTheme="majorBidi" w:cstheme="majorBidi"/>
          <w:sz w:val="18"/>
          <w:szCs w:val="18"/>
          <w:lang w:val="en-US"/>
        </w:rPr>
        <w:t>.</w:t>
      </w:r>
    </w:p>
    <w:p w14:paraId="10265A1D" w14:textId="10B2D05C" w:rsidR="00295008" w:rsidRPr="00781F4C" w:rsidRDefault="00EE481F" w:rsidP="00B71320">
      <w:pPr>
        <w:spacing w:before="120"/>
        <w:ind w:left="284" w:hanging="284"/>
        <w:jc w:val="both"/>
        <w:rPr>
          <w:rFonts w:asciiTheme="majorBidi" w:hAnsiTheme="majorBidi" w:cstheme="majorBidi"/>
          <w:sz w:val="18"/>
          <w:szCs w:val="18"/>
          <w:lang w:val="en-US"/>
        </w:rPr>
      </w:pPr>
      <w:r w:rsidRPr="00781F4C">
        <w:rPr>
          <w:rFonts w:asciiTheme="majorBidi" w:hAnsiTheme="majorBidi" w:cstheme="majorBidi"/>
          <w:sz w:val="18"/>
          <w:szCs w:val="18"/>
          <w:lang w:val="en-US"/>
        </w:rPr>
        <w:t>International Monetary Fund (IMF)</w:t>
      </w:r>
      <w:r w:rsidR="00ED1AEF"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xml:space="preserve"> (2020)</w:t>
      </w:r>
      <w:r w:rsidR="00ED1AEF" w:rsidRPr="00781F4C">
        <w:rPr>
          <w:rFonts w:asciiTheme="majorBidi" w:hAnsiTheme="majorBidi" w:cstheme="majorBidi"/>
          <w:sz w:val="18"/>
          <w:szCs w:val="18"/>
          <w:lang w:val="en-US"/>
        </w:rPr>
        <w:t>.</w:t>
      </w:r>
      <w:r w:rsidR="00295008" w:rsidRPr="00781F4C">
        <w:rPr>
          <w:rFonts w:asciiTheme="majorBidi" w:hAnsiTheme="majorBidi" w:cstheme="majorBidi"/>
          <w:sz w:val="18"/>
          <w:szCs w:val="18"/>
          <w:lang w:val="en-US"/>
        </w:rPr>
        <w:t xml:space="preserve"> URL: </w:t>
      </w:r>
      <w:hyperlink r:id="rId17" w:history="1">
        <w:r w:rsidR="00174704" w:rsidRPr="00781F4C">
          <w:rPr>
            <w:rFonts w:asciiTheme="majorBidi" w:hAnsiTheme="majorBidi" w:cstheme="majorBidi"/>
            <w:sz w:val="18"/>
            <w:szCs w:val="18"/>
            <w:lang w:val="en-US"/>
          </w:rPr>
          <w:t>https://data.imf.org/?sk=3567E911-4282-4427-98F9-2B8A6F83C3B6</w:t>
        </w:r>
      </w:hyperlink>
      <w:r w:rsidR="00295008" w:rsidRPr="00781F4C">
        <w:rPr>
          <w:rFonts w:asciiTheme="majorBidi" w:hAnsiTheme="majorBidi" w:cstheme="majorBidi"/>
          <w:sz w:val="18"/>
          <w:szCs w:val="18"/>
          <w:lang w:val="en-US"/>
        </w:rPr>
        <w:t>.</w:t>
      </w:r>
    </w:p>
    <w:p w14:paraId="4637132C" w14:textId="31BE6A24" w:rsidR="00F31A6F" w:rsidRPr="00781F4C" w:rsidRDefault="00EE481F" w:rsidP="00B71320">
      <w:pPr>
        <w:spacing w:before="120"/>
        <w:ind w:left="284" w:hanging="284"/>
        <w:jc w:val="both"/>
        <w:rPr>
          <w:rFonts w:asciiTheme="majorBidi" w:hAnsiTheme="majorBidi" w:cstheme="majorBidi"/>
          <w:sz w:val="18"/>
          <w:szCs w:val="18"/>
        </w:rPr>
      </w:pPr>
      <w:r w:rsidRPr="00781F4C">
        <w:rPr>
          <w:rFonts w:asciiTheme="majorBidi" w:hAnsiTheme="majorBidi" w:cstheme="majorBidi"/>
          <w:sz w:val="18"/>
          <w:szCs w:val="18"/>
        </w:rPr>
        <w:t>Jacobson J</w:t>
      </w:r>
      <w:r w:rsidR="00ED1AEF" w:rsidRPr="00781F4C">
        <w:rPr>
          <w:rFonts w:asciiTheme="majorBidi" w:hAnsiTheme="majorBidi" w:cstheme="majorBidi"/>
          <w:sz w:val="18"/>
          <w:szCs w:val="18"/>
        </w:rPr>
        <w:t>.</w:t>
      </w:r>
      <w:r w:rsidR="00F31A6F" w:rsidRPr="00781F4C">
        <w:rPr>
          <w:rFonts w:asciiTheme="majorBidi" w:hAnsiTheme="majorBidi" w:cstheme="majorBidi"/>
          <w:sz w:val="18"/>
          <w:szCs w:val="18"/>
        </w:rPr>
        <w:t xml:space="preserve"> </w:t>
      </w:r>
      <w:r w:rsidR="00FF2EE9" w:rsidRPr="00781F4C">
        <w:rPr>
          <w:rFonts w:asciiTheme="majorBidi" w:hAnsiTheme="majorBidi" w:cstheme="majorBidi"/>
          <w:sz w:val="18"/>
          <w:szCs w:val="18"/>
        </w:rPr>
        <w:t>(</w:t>
      </w:r>
      <w:r w:rsidR="00F31A6F" w:rsidRPr="00781F4C">
        <w:rPr>
          <w:rFonts w:asciiTheme="majorBidi" w:hAnsiTheme="majorBidi" w:cstheme="majorBidi"/>
          <w:sz w:val="18"/>
          <w:szCs w:val="18"/>
        </w:rPr>
        <w:t>1988</w:t>
      </w:r>
      <w:r w:rsidR="00FF2EE9" w:rsidRPr="00781F4C">
        <w:rPr>
          <w:rFonts w:asciiTheme="majorBidi" w:hAnsiTheme="majorBidi" w:cstheme="majorBidi"/>
          <w:sz w:val="18"/>
          <w:szCs w:val="18"/>
        </w:rPr>
        <w:t>)</w:t>
      </w:r>
      <w:r w:rsidR="00ED1AEF" w:rsidRPr="00781F4C">
        <w:rPr>
          <w:rFonts w:asciiTheme="majorBidi" w:hAnsiTheme="majorBidi" w:cstheme="majorBidi"/>
          <w:sz w:val="18"/>
          <w:szCs w:val="18"/>
        </w:rPr>
        <w:t>.</w:t>
      </w:r>
      <w:r w:rsidR="00F31A6F" w:rsidRPr="00781F4C">
        <w:rPr>
          <w:rFonts w:asciiTheme="majorBidi" w:hAnsiTheme="majorBidi" w:cstheme="majorBidi"/>
          <w:sz w:val="18"/>
          <w:szCs w:val="18"/>
        </w:rPr>
        <w:t xml:space="preserve"> Environmental refugees: a yardstick of habitability. Washington DC: World Watch Institute.</w:t>
      </w:r>
    </w:p>
    <w:p w14:paraId="2A5BCA87" w14:textId="335F689A" w:rsidR="00295008" w:rsidRPr="00781F4C" w:rsidRDefault="00EE481F" w:rsidP="00B71320">
      <w:pPr>
        <w:spacing w:before="120"/>
        <w:ind w:left="284" w:hanging="284"/>
        <w:jc w:val="both"/>
        <w:rPr>
          <w:rFonts w:asciiTheme="majorBidi" w:hAnsiTheme="majorBidi" w:cstheme="majorBidi"/>
          <w:sz w:val="18"/>
          <w:szCs w:val="18"/>
          <w:lang w:val="en-US"/>
        </w:rPr>
      </w:pPr>
      <w:r w:rsidRPr="00781F4C">
        <w:rPr>
          <w:rFonts w:asciiTheme="majorBidi" w:hAnsiTheme="majorBidi" w:cstheme="majorBidi"/>
          <w:sz w:val="18"/>
          <w:szCs w:val="18"/>
          <w:lang w:val="en-US"/>
        </w:rPr>
        <w:t>Kao C</w:t>
      </w:r>
      <w:r w:rsidR="00ED1AEF" w:rsidRPr="00781F4C">
        <w:rPr>
          <w:rFonts w:asciiTheme="majorBidi" w:hAnsiTheme="majorBidi" w:cstheme="majorBidi"/>
          <w:sz w:val="18"/>
          <w:szCs w:val="18"/>
          <w:lang w:val="en-US"/>
        </w:rPr>
        <w:t>.</w:t>
      </w:r>
      <w:r w:rsidR="00FF2EE9" w:rsidRPr="00781F4C">
        <w:rPr>
          <w:rFonts w:asciiTheme="majorBidi" w:hAnsiTheme="majorBidi" w:cstheme="majorBidi"/>
          <w:sz w:val="18"/>
          <w:szCs w:val="18"/>
          <w:lang w:val="en-US"/>
        </w:rPr>
        <w:t xml:space="preserve"> (</w:t>
      </w:r>
      <w:r w:rsidRPr="00781F4C">
        <w:rPr>
          <w:rFonts w:asciiTheme="majorBidi" w:hAnsiTheme="majorBidi" w:cstheme="majorBidi"/>
          <w:sz w:val="18"/>
          <w:szCs w:val="18"/>
          <w:lang w:val="en-US"/>
        </w:rPr>
        <w:t>1999)</w:t>
      </w:r>
      <w:r w:rsidR="00ED1AEF"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xml:space="preserve"> </w:t>
      </w:r>
      <w:r w:rsidR="00295008" w:rsidRPr="00781F4C">
        <w:rPr>
          <w:rFonts w:asciiTheme="majorBidi" w:hAnsiTheme="majorBidi" w:cstheme="majorBidi"/>
          <w:sz w:val="18"/>
          <w:szCs w:val="18"/>
          <w:lang w:val="en-US"/>
        </w:rPr>
        <w:t>Spurious regression and residual-based tests for cointegration in panel data</w:t>
      </w:r>
      <w:r w:rsidR="00295008" w:rsidRPr="00781F4C">
        <w:rPr>
          <w:rFonts w:asciiTheme="majorBidi" w:hAnsiTheme="majorBidi" w:cstheme="majorBidi"/>
          <w:i/>
          <w:iCs/>
          <w:sz w:val="18"/>
          <w:szCs w:val="18"/>
          <w:lang w:val="en-US"/>
        </w:rPr>
        <w:t xml:space="preserve">. </w:t>
      </w:r>
      <w:r w:rsidRPr="00781F4C">
        <w:rPr>
          <w:rFonts w:asciiTheme="majorBidi" w:hAnsiTheme="majorBidi" w:cstheme="majorBidi"/>
          <w:i/>
          <w:iCs/>
          <w:sz w:val="18"/>
          <w:szCs w:val="18"/>
          <w:lang w:val="en-US"/>
        </w:rPr>
        <w:t>Journal of Econometrics</w:t>
      </w:r>
      <w:r w:rsidR="00ED1AEF" w:rsidRPr="00781F4C">
        <w:rPr>
          <w:rFonts w:asciiTheme="majorBidi" w:hAnsiTheme="majorBidi" w:cstheme="majorBidi"/>
          <w:i/>
          <w:iCs/>
          <w:sz w:val="18"/>
          <w:szCs w:val="18"/>
          <w:lang w:val="en-US"/>
        </w:rPr>
        <w:t>,</w:t>
      </w:r>
      <w:r w:rsidRPr="00781F4C">
        <w:rPr>
          <w:rFonts w:asciiTheme="majorBidi" w:hAnsiTheme="majorBidi" w:cstheme="majorBidi"/>
          <w:i/>
          <w:iCs/>
          <w:sz w:val="18"/>
          <w:szCs w:val="18"/>
          <w:lang w:val="en-US"/>
        </w:rPr>
        <w:t xml:space="preserve"> </w:t>
      </w:r>
      <w:r w:rsidR="00295008" w:rsidRPr="00781F4C">
        <w:rPr>
          <w:rFonts w:asciiTheme="majorBidi" w:hAnsiTheme="majorBidi" w:cstheme="majorBidi"/>
          <w:iCs/>
          <w:sz w:val="18"/>
          <w:szCs w:val="18"/>
          <w:lang w:val="en-US"/>
        </w:rPr>
        <w:t>90</w:t>
      </w:r>
      <w:r w:rsidRPr="00781F4C">
        <w:rPr>
          <w:rFonts w:asciiTheme="majorBidi" w:hAnsiTheme="majorBidi" w:cstheme="majorBidi"/>
          <w:iCs/>
          <w:sz w:val="18"/>
          <w:szCs w:val="18"/>
          <w:lang w:val="en-US"/>
        </w:rPr>
        <w:t>(1):</w:t>
      </w:r>
      <w:r w:rsidR="00295008" w:rsidRPr="00781F4C">
        <w:rPr>
          <w:rFonts w:asciiTheme="majorBidi" w:hAnsiTheme="majorBidi" w:cstheme="majorBidi"/>
          <w:iCs/>
          <w:sz w:val="18"/>
          <w:szCs w:val="18"/>
          <w:lang w:val="en-US"/>
        </w:rPr>
        <w:t>1</w:t>
      </w:r>
      <w:r w:rsidR="00295008" w:rsidRPr="00781F4C">
        <w:rPr>
          <w:rFonts w:asciiTheme="majorBidi" w:hAnsiTheme="majorBidi" w:cstheme="majorBidi"/>
          <w:sz w:val="18"/>
          <w:szCs w:val="18"/>
          <w:lang w:val="en-US"/>
        </w:rPr>
        <w:t xml:space="preserve">-44. </w:t>
      </w:r>
      <w:hyperlink r:id="rId18" w:history="1">
        <w:r w:rsidR="00295008" w:rsidRPr="00781F4C">
          <w:rPr>
            <w:rStyle w:val="Hyperlink"/>
            <w:rFonts w:asciiTheme="majorBidi" w:hAnsiTheme="majorBidi" w:cstheme="majorBidi"/>
            <w:color w:val="auto"/>
            <w:sz w:val="18"/>
            <w:szCs w:val="18"/>
            <w:u w:val="none"/>
            <w:lang w:val="en-US"/>
          </w:rPr>
          <w:t>https://doi.org/10.1016/S0304-4076(1098)00023-00022</w:t>
        </w:r>
      </w:hyperlink>
      <w:r w:rsidR="00295008" w:rsidRPr="00781F4C">
        <w:rPr>
          <w:rFonts w:asciiTheme="majorBidi" w:hAnsiTheme="majorBidi" w:cstheme="majorBidi"/>
          <w:sz w:val="18"/>
          <w:szCs w:val="18"/>
          <w:lang w:val="en-US"/>
        </w:rPr>
        <w:t>.</w:t>
      </w:r>
    </w:p>
    <w:p w14:paraId="1C92CE41" w14:textId="301C01C1" w:rsidR="00F31A6F" w:rsidRPr="00781F4C" w:rsidRDefault="00F31A6F" w:rsidP="00B71320">
      <w:pPr>
        <w:spacing w:before="120"/>
        <w:ind w:left="284" w:hanging="284"/>
        <w:jc w:val="both"/>
        <w:rPr>
          <w:rFonts w:asciiTheme="majorBidi" w:hAnsiTheme="majorBidi" w:cstheme="majorBidi"/>
          <w:sz w:val="18"/>
          <w:szCs w:val="18"/>
        </w:rPr>
      </w:pPr>
      <w:r w:rsidRPr="00781F4C">
        <w:rPr>
          <w:rFonts w:asciiTheme="majorBidi" w:hAnsiTheme="majorBidi" w:cstheme="majorBidi"/>
          <w:sz w:val="18"/>
          <w:szCs w:val="18"/>
        </w:rPr>
        <w:t>Kha</w:t>
      </w:r>
      <w:r w:rsidR="00A75AA5" w:rsidRPr="00781F4C">
        <w:rPr>
          <w:rFonts w:asciiTheme="majorBidi" w:hAnsiTheme="majorBidi" w:cstheme="majorBidi"/>
          <w:sz w:val="18"/>
          <w:szCs w:val="18"/>
        </w:rPr>
        <w:t>n I</w:t>
      </w:r>
      <w:r w:rsidR="00ED1AEF" w:rsidRPr="00781F4C">
        <w:rPr>
          <w:rFonts w:asciiTheme="majorBidi" w:hAnsiTheme="majorBidi" w:cstheme="majorBidi"/>
          <w:sz w:val="18"/>
          <w:szCs w:val="18"/>
        </w:rPr>
        <w:t>.</w:t>
      </w:r>
      <w:r w:rsidR="00A75AA5" w:rsidRPr="00781F4C">
        <w:rPr>
          <w:rFonts w:asciiTheme="majorBidi" w:hAnsiTheme="majorBidi" w:cstheme="majorBidi"/>
          <w:sz w:val="18"/>
          <w:szCs w:val="18"/>
        </w:rPr>
        <w:t>, Hou F</w:t>
      </w:r>
      <w:r w:rsidR="00ED1AEF" w:rsidRPr="00781F4C">
        <w:rPr>
          <w:rFonts w:asciiTheme="majorBidi" w:hAnsiTheme="majorBidi" w:cstheme="majorBidi"/>
          <w:sz w:val="18"/>
          <w:szCs w:val="18"/>
        </w:rPr>
        <w:t>.</w:t>
      </w:r>
      <w:r w:rsidR="00A75AA5" w:rsidRPr="00781F4C">
        <w:rPr>
          <w:rFonts w:asciiTheme="majorBidi" w:hAnsiTheme="majorBidi" w:cstheme="majorBidi"/>
          <w:sz w:val="18"/>
          <w:szCs w:val="18"/>
        </w:rPr>
        <w:t>, Le HP</w:t>
      </w:r>
      <w:r w:rsidR="00ED1AEF" w:rsidRPr="00781F4C">
        <w:rPr>
          <w:rFonts w:asciiTheme="majorBidi" w:hAnsiTheme="majorBidi" w:cstheme="majorBidi"/>
          <w:sz w:val="18"/>
          <w:szCs w:val="18"/>
        </w:rPr>
        <w:t>.</w:t>
      </w:r>
      <w:r w:rsidR="00A75AA5" w:rsidRPr="00781F4C">
        <w:rPr>
          <w:rFonts w:asciiTheme="majorBidi" w:hAnsiTheme="majorBidi" w:cstheme="majorBidi"/>
          <w:sz w:val="18"/>
          <w:szCs w:val="18"/>
        </w:rPr>
        <w:t xml:space="preserve"> (2021)</w:t>
      </w:r>
      <w:r w:rsidR="00ED1AEF" w:rsidRPr="00781F4C">
        <w:rPr>
          <w:rFonts w:asciiTheme="majorBidi" w:hAnsiTheme="majorBidi" w:cstheme="majorBidi"/>
          <w:sz w:val="18"/>
          <w:szCs w:val="18"/>
        </w:rPr>
        <w:t>.</w:t>
      </w:r>
      <w:r w:rsidR="00A75AA5" w:rsidRPr="00781F4C">
        <w:rPr>
          <w:rFonts w:asciiTheme="majorBidi" w:hAnsiTheme="majorBidi" w:cstheme="majorBidi"/>
          <w:sz w:val="18"/>
          <w:szCs w:val="18"/>
        </w:rPr>
        <w:t xml:space="preserve"> </w:t>
      </w:r>
      <w:r w:rsidRPr="00781F4C">
        <w:rPr>
          <w:rFonts w:asciiTheme="majorBidi" w:hAnsiTheme="majorBidi" w:cstheme="majorBidi"/>
          <w:sz w:val="18"/>
          <w:szCs w:val="18"/>
        </w:rPr>
        <w:t xml:space="preserve">The impact of natural resources, energy consumption, and population growth on environmental quality: Fresh evidence from the United States of America. </w:t>
      </w:r>
      <w:r w:rsidRPr="00781F4C">
        <w:rPr>
          <w:rFonts w:asciiTheme="majorBidi" w:hAnsiTheme="majorBidi" w:cstheme="majorBidi"/>
          <w:i/>
          <w:iCs/>
          <w:sz w:val="18"/>
          <w:szCs w:val="18"/>
        </w:rPr>
        <w:t>S</w:t>
      </w:r>
      <w:r w:rsidR="00A75AA5" w:rsidRPr="00781F4C">
        <w:rPr>
          <w:rFonts w:asciiTheme="majorBidi" w:hAnsiTheme="majorBidi" w:cstheme="majorBidi"/>
          <w:i/>
          <w:iCs/>
          <w:sz w:val="18"/>
          <w:szCs w:val="18"/>
        </w:rPr>
        <w:t>cience of The Total Environment</w:t>
      </w:r>
      <w:r w:rsidR="00ED1AEF" w:rsidRPr="00781F4C">
        <w:rPr>
          <w:rFonts w:asciiTheme="majorBidi" w:hAnsiTheme="majorBidi" w:cstheme="majorBidi"/>
          <w:sz w:val="18"/>
          <w:szCs w:val="18"/>
        </w:rPr>
        <w:t>,</w:t>
      </w:r>
      <w:r w:rsidR="00A75AA5" w:rsidRPr="00781F4C">
        <w:rPr>
          <w:rFonts w:asciiTheme="majorBidi" w:hAnsiTheme="majorBidi" w:cstheme="majorBidi"/>
          <w:sz w:val="18"/>
          <w:szCs w:val="18"/>
        </w:rPr>
        <w:t xml:space="preserve"> 754:</w:t>
      </w:r>
      <w:r w:rsidRPr="00781F4C">
        <w:rPr>
          <w:rFonts w:asciiTheme="majorBidi" w:hAnsiTheme="majorBidi" w:cstheme="majorBidi"/>
          <w:sz w:val="18"/>
          <w:szCs w:val="18"/>
        </w:rPr>
        <w:t xml:space="preserve">142222. </w:t>
      </w:r>
      <w:hyperlink r:id="rId19" w:history="1">
        <w:r w:rsidRPr="00781F4C">
          <w:rPr>
            <w:rFonts w:asciiTheme="majorBidi" w:hAnsiTheme="majorBidi" w:cstheme="majorBidi"/>
            <w:sz w:val="18"/>
            <w:szCs w:val="18"/>
          </w:rPr>
          <w:t>https://doi.org/142210.141016/j.scitotenv.142020.142222</w:t>
        </w:r>
      </w:hyperlink>
      <w:r w:rsidRPr="00781F4C">
        <w:rPr>
          <w:rFonts w:asciiTheme="majorBidi" w:hAnsiTheme="majorBidi" w:cstheme="majorBidi"/>
          <w:sz w:val="18"/>
          <w:szCs w:val="18"/>
        </w:rPr>
        <w:t xml:space="preserve">. </w:t>
      </w:r>
    </w:p>
    <w:p w14:paraId="1F9D7E36" w14:textId="04FC1B8A" w:rsidR="00437D2E" w:rsidRPr="00A2422B" w:rsidRDefault="00437D2E" w:rsidP="00B71320">
      <w:pPr>
        <w:spacing w:before="120"/>
        <w:ind w:left="284" w:hanging="284"/>
        <w:jc w:val="both"/>
        <w:rPr>
          <w:rFonts w:asciiTheme="majorBidi" w:hAnsiTheme="majorBidi" w:cstheme="majorBidi"/>
          <w:sz w:val="18"/>
          <w:szCs w:val="18"/>
        </w:rPr>
      </w:pPr>
      <w:r w:rsidRPr="00A2422B">
        <w:rPr>
          <w:rFonts w:asciiTheme="majorBidi" w:hAnsiTheme="majorBidi" w:cstheme="majorBidi"/>
          <w:sz w:val="18"/>
          <w:szCs w:val="18"/>
        </w:rPr>
        <w:t>Koenker</w:t>
      </w:r>
      <w:r w:rsidR="00A75AA5" w:rsidRPr="00A2422B">
        <w:rPr>
          <w:rFonts w:asciiTheme="majorBidi" w:hAnsiTheme="majorBidi" w:cstheme="majorBidi"/>
          <w:sz w:val="18"/>
          <w:szCs w:val="18"/>
        </w:rPr>
        <w:t xml:space="preserve"> R</w:t>
      </w:r>
      <w:r w:rsidR="00ED1AEF" w:rsidRPr="00A2422B">
        <w:rPr>
          <w:rFonts w:asciiTheme="majorBidi" w:hAnsiTheme="majorBidi" w:cstheme="majorBidi"/>
          <w:sz w:val="18"/>
          <w:szCs w:val="18"/>
        </w:rPr>
        <w:t>.</w:t>
      </w:r>
      <w:r w:rsidR="00A75AA5" w:rsidRPr="00A2422B">
        <w:rPr>
          <w:rFonts w:asciiTheme="majorBidi" w:hAnsiTheme="majorBidi" w:cstheme="majorBidi"/>
          <w:sz w:val="18"/>
          <w:szCs w:val="18"/>
        </w:rPr>
        <w:t xml:space="preserve"> (2004)</w:t>
      </w:r>
      <w:r w:rsidR="00ED1AEF" w:rsidRPr="00A2422B">
        <w:rPr>
          <w:rFonts w:asciiTheme="majorBidi" w:hAnsiTheme="majorBidi" w:cstheme="majorBidi"/>
          <w:sz w:val="18"/>
          <w:szCs w:val="18"/>
        </w:rPr>
        <w:t>.</w:t>
      </w:r>
      <w:r w:rsidRPr="00A2422B">
        <w:rPr>
          <w:rFonts w:asciiTheme="majorBidi" w:hAnsiTheme="majorBidi" w:cstheme="majorBidi"/>
          <w:sz w:val="18"/>
          <w:szCs w:val="18"/>
        </w:rPr>
        <w:t xml:space="preserve"> Quantile regression for longitudinal data. </w:t>
      </w:r>
      <w:r w:rsidRPr="00A2422B">
        <w:rPr>
          <w:rFonts w:asciiTheme="majorBidi" w:hAnsiTheme="majorBidi" w:cstheme="majorBidi"/>
          <w:i/>
          <w:iCs/>
          <w:sz w:val="18"/>
          <w:szCs w:val="18"/>
        </w:rPr>
        <w:t>J. Multivar. Anal</w:t>
      </w:r>
      <w:r w:rsidR="00ED1AEF" w:rsidRPr="00A2422B">
        <w:rPr>
          <w:rFonts w:asciiTheme="majorBidi" w:hAnsiTheme="majorBidi" w:cstheme="majorBidi"/>
          <w:i/>
          <w:iCs/>
          <w:sz w:val="18"/>
          <w:szCs w:val="18"/>
        </w:rPr>
        <w:t>,</w:t>
      </w:r>
      <w:r w:rsidR="00A75AA5" w:rsidRPr="00A2422B">
        <w:rPr>
          <w:rFonts w:asciiTheme="majorBidi" w:hAnsiTheme="majorBidi" w:cstheme="majorBidi"/>
          <w:sz w:val="18"/>
          <w:szCs w:val="18"/>
        </w:rPr>
        <w:t xml:space="preserve"> 91:</w:t>
      </w:r>
      <w:r w:rsidRPr="00A2422B">
        <w:rPr>
          <w:rFonts w:asciiTheme="majorBidi" w:hAnsiTheme="majorBidi" w:cstheme="majorBidi"/>
          <w:sz w:val="18"/>
          <w:szCs w:val="18"/>
        </w:rPr>
        <w:t>74–89.</w:t>
      </w:r>
      <w:r w:rsidRPr="00A2422B">
        <w:rPr>
          <w:rFonts w:asciiTheme="majorBidi" w:eastAsia="Calibri" w:hAnsiTheme="majorBidi" w:cstheme="majorBidi"/>
          <w:sz w:val="18"/>
          <w:szCs w:val="18"/>
          <w:lang w:eastAsia="en-US"/>
        </w:rPr>
        <w:t xml:space="preserve"> </w:t>
      </w:r>
      <w:hyperlink r:id="rId20" w:tgtFrame="_blank" w:tooltip="Persistent link using digital object identifier" w:history="1">
        <w:r w:rsidRPr="00A2422B">
          <w:rPr>
            <w:rFonts w:asciiTheme="majorBidi" w:hAnsiTheme="majorBidi" w:cstheme="majorBidi"/>
            <w:sz w:val="18"/>
            <w:szCs w:val="18"/>
          </w:rPr>
          <w:t>https://doi.org/10.1016/j.jmva.2004.05.006</w:t>
        </w:r>
      </w:hyperlink>
      <w:r w:rsidRPr="00A2422B">
        <w:rPr>
          <w:rFonts w:asciiTheme="majorBidi" w:hAnsiTheme="majorBidi" w:cstheme="majorBidi"/>
          <w:sz w:val="18"/>
          <w:szCs w:val="18"/>
        </w:rPr>
        <w:t>.</w:t>
      </w:r>
    </w:p>
    <w:p w14:paraId="165107F9" w14:textId="5E8D117B" w:rsidR="00295008" w:rsidRPr="00CF6621" w:rsidRDefault="00A75AA5" w:rsidP="00B71320">
      <w:pPr>
        <w:spacing w:before="120"/>
        <w:ind w:left="284" w:hanging="284"/>
        <w:jc w:val="both"/>
        <w:rPr>
          <w:rFonts w:asciiTheme="majorBidi" w:hAnsiTheme="majorBidi" w:cstheme="majorBidi"/>
          <w:color w:val="000000" w:themeColor="text1"/>
          <w:sz w:val="18"/>
          <w:szCs w:val="18"/>
          <w:lang w:val="en-US"/>
        </w:rPr>
      </w:pPr>
      <w:r w:rsidRPr="00A2422B">
        <w:rPr>
          <w:rFonts w:asciiTheme="majorBidi" w:hAnsiTheme="majorBidi" w:cstheme="majorBidi"/>
          <w:sz w:val="18"/>
          <w:szCs w:val="18"/>
        </w:rPr>
        <w:t>Koenker R</w:t>
      </w:r>
      <w:r w:rsidR="00ED1AEF" w:rsidRPr="00A2422B">
        <w:rPr>
          <w:rFonts w:asciiTheme="majorBidi" w:hAnsiTheme="majorBidi" w:cstheme="majorBidi"/>
          <w:sz w:val="18"/>
          <w:szCs w:val="18"/>
        </w:rPr>
        <w:t>.</w:t>
      </w:r>
      <w:r w:rsidRPr="00A2422B">
        <w:rPr>
          <w:rFonts w:asciiTheme="majorBidi" w:hAnsiTheme="majorBidi" w:cstheme="majorBidi"/>
          <w:sz w:val="18"/>
          <w:szCs w:val="18"/>
        </w:rPr>
        <w:t>, Bassett JG</w:t>
      </w:r>
      <w:r w:rsidR="00ED1AEF" w:rsidRPr="00A2422B">
        <w:rPr>
          <w:rFonts w:asciiTheme="majorBidi" w:hAnsiTheme="majorBidi" w:cstheme="majorBidi"/>
          <w:sz w:val="18"/>
          <w:szCs w:val="18"/>
        </w:rPr>
        <w:t>.</w:t>
      </w:r>
      <w:r w:rsidRPr="00A2422B">
        <w:rPr>
          <w:rFonts w:asciiTheme="majorBidi" w:hAnsiTheme="majorBidi" w:cstheme="majorBidi"/>
          <w:sz w:val="18"/>
          <w:szCs w:val="18"/>
        </w:rPr>
        <w:t xml:space="preserve"> (1978)</w:t>
      </w:r>
      <w:r w:rsidR="00ED1AEF" w:rsidRPr="00A2422B">
        <w:rPr>
          <w:rFonts w:asciiTheme="majorBidi" w:hAnsiTheme="majorBidi" w:cstheme="majorBidi"/>
          <w:sz w:val="18"/>
          <w:szCs w:val="18"/>
        </w:rPr>
        <w:t>.</w:t>
      </w:r>
      <w:r w:rsidR="00295008" w:rsidRPr="00A2422B">
        <w:rPr>
          <w:rFonts w:asciiTheme="majorBidi" w:hAnsiTheme="majorBidi" w:cstheme="majorBidi"/>
          <w:sz w:val="18"/>
          <w:szCs w:val="18"/>
        </w:rPr>
        <w:t xml:space="preserve"> Regression quantiles. </w:t>
      </w:r>
      <w:proofErr w:type="spellStart"/>
      <w:r w:rsidR="00295008" w:rsidRPr="00781F4C">
        <w:rPr>
          <w:rFonts w:asciiTheme="majorBidi" w:hAnsiTheme="majorBidi" w:cstheme="majorBidi"/>
          <w:sz w:val="18"/>
          <w:szCs w:val="18"/>
          <w:lang w:val="en-US"/>
        </w:rPr>
        <w:t>Econometrica</w:t>
      </w:r>
      <w:proofErr w:type="spellEnd"/>
      <w:r w:rsidR="00295008" w:rsidRPr="00781F4C">
        <w:rPr>
          <w:rFonts w:asciiTheme="majorBidi" w:hAnsiTheme="majorBidi" w:cstheme="majorBidi"/>
          <w:sz w:val="18"/>
          <w:szCs w:val="18"/>
          <w:lang w:val="en-US"/>
        </w:rPr>
        <w:t xml:space="preserve">: </w:t>
      </w:r>
      <w:r w:rsidR="00295008" w:rsidRPr="00781F4C">
        <w:rPr>
          <w:rFonts w:asciiTheme="majorBidi" w:hAnsiTheme="majorBidi" w:cstheme="majorBidi"/>
          <w:i/>
          <w:iCs/>
          <w:sz w:val="18"/>
          <w:szCs w:val="18"/>
          <w:lang w:val="en-US"/>
        </w:rPr>
        <w:t>jou</w:t>
      </w:r>
      <w:r w:rsidRPr="00781F4C">
        <w:rPr>
          <w:rFonts w:asciiTheme="majorBidi" w:hAnsiTheme="majorBidi" w:cstheme="majorBidi"/>
          <w:i/>
          <w:iCs/>
          <w:sz w:val="18"/>
          <w:szCs w:val="18"/>
          <w:lang w:val="en-US"/>
        </w:rPr>
        <w:t>rnal of the Econometric Society</w:t>
      </w:r>
      <w:r w:rsidR="00ED1AEF" w:rsidRPr="00781F4C">
        <w:rPr>
          <w:rFonts w:asciiTheme="majorBidi" w:hAnsiTheme="majorBidi" w:cstheme="majorBidi"/>
          <w:sz w:val="18"/>
          <w:szCs w:val="18"/>
          <w:lang w:val="en-US"/>
        </w:rPr>
        <w:t xml:space="preserve">, </w:t>
      </w:r>
      <w:r w:rsidR="00295008" w:rsidRPr="00781F4C">
        <w:rPr>
          <w:rFonts w:asciiTheme="majorBidi" w:hAnsiTheme="majorBidi" w:cstheme="majorBidi"/>
          <w:sz w:val="18"/>
          <w:szCs w:val="18"/>
          <w:lang w:val="en-US"/>
        </w:rPr>
        <w:t xml:space="preserve">33-50. </w:t>
      </w:r>
      <w:hyperlink r:id="rId21" w:history="1">
        <w:r w:rsidR="003E5B6D" w:rsidRPr="00CF6621">
          <w:rPr>
            <w:rStyle w:val="Hyperlink"/>
            <w:rFonts w:asciiTheme="majorBidi" w:hAnsiTheme="majorBidi" w:cstheme="majorBidi"/>
            <w:color w:val="000000" w:themeColor="text1"/>
            <w:sz w:val="18"/>
            <w:szCs w:val="18"/>
            <w:u w:val="none"/>
            <w:lang w:val="en-US"/>
          </w:rPr>
          <w:t>https://doi.org/10.2307/1913643</w:t>
        </w:r>
      </w:hyperlink>
      <w:r w:rsidR="00295008" w:rsidRPr="00CF6621">
        <w:rPr>
          <w:rFonts w:asciiTheme="majorBidi" w:hAnsiTheme="majorBidi" w:cstheme="majorBidi"/>
          <w:color w:val="000000" w:themeColor="text1"/>
          <w:sz w:val="18"/>
          <w:szCs w:val="18"/>
          <w:lang w:val="en-US"/>
        </w:rPr>
        <w:t>.</w:t>
      </w:r>
    </w:p>
    <w:p w14:paraId="6C665DB8" w14:textId="62ABCA49" w:rsidR="00F31A6F" w:rsidRPr="00781F4C" w:rsidRDefault="00A75AA5" w:rsidP="00B71320">
      <w:pPr>
        <w:spacing w:before="120"/>
        <w:ind w:left="284" w:hanging="284"/>
        <w:jc w:val="both"/>
        <w:rPr>
          <w:rFonts w:asciiTheme="majorBidi" w:hAnsiTheme="majorBidi" w:cstheme="majorBidi"/>
          <w:sz w:val="18"/>
          <w:szCs w:val="18"/>
        </w:rPr>
      </w:pPr>
      <w:r w:rsidRPr="00781F4C">
        <w:rPr>
          <w:rFonts w:asciiTheme="majorBidi" w:hAnsiTheme="majorBidi" w:cstheme="majorBidi"/>
          <w:sz w:val="18"/>
          <w:szCs w:val="18"/>
        </w:rPr>
        <w:t>Koenker R</w:t>
      </w:r>
      <w:r w:rsidR="00ED1AEF" w:rsidRPr="00781F4C">
        <w:rPr>
          <w:rFonts w:asciiTheme="majorBidi" w:hAnsiTheme="majorBidi" w:cstheme="majorBidi"/>
          <w:sz w:val="18"/>
          <w:szCs w:val="18"/>
        </w:rPr>
        <w:t>.</w:t>
      </w:r>
      <w:r w:rsidRPr="00781F4C">
        <w:rPr>
          <w:rFonts w:asciiTheme="majorBidi" w:hAnsiTheme="majorBidi" w:cstheme="majorBidi"/>
          <w:sz w:val="18"/>
          <w:szCs w:val="18"/>
        </w:rPr>
        <w:t>, Xiao Z</w:t>
      </w:r>
      <w:r w:rsidR="00ED1AEF" w:rsidRPr="00781F4C">
        <w:rPr>
          <w:rFonts w:asciiTheme="majorBidi" w:hAnsiTheme="majorBidi" w:cstheme="majorBidi"/>
          <w:sz w:val="18"/>
          <w:szCs w:val="18"/>
        </w:rPr>
        <w:t>.</w:t>
      </w:r>
      <w:r w:rsidRPr="00781F4C">
        <w:rPr>
          <w:rFonts w:asciiTheme="majorBidi" w:hAnsiTheme="majorBidi" w:cstheme="majorBidi"/>
          <w:sz w:val="18"/>
          <w:szCs w:val="18"/>
        </w:rPr>
        <w:t xml:space="preserve"> (2002)</w:t>
      </w:r>
      <w:r w:rsidR="00F31A6F" w:rsidRPr="00781F4C">
        <w:rPr>
          <w:rFonts w:asciiTheme="majorBidi" w:hAnsiTheme="majorBidi" w:cstheme="majorBidi"/>
          <w:sz w:val="18"/>
          <w:szCs w:val="18"/>
        </w:rPr>
        <w:t xml:space="preserve"> Inference on the quantile r</w:t>
      </w:r>
      <w:r w:rsidRPr="00781F4C">
        <w:rPr>
          <w:rFonts w:asciiTheme="majorBidi" w:hAnsiTheme="majorBidi" w:cstheme="majorBidi"/>
          <w:sz w:val="18"/>
          <w:szCs w:val="18"/>
        </w:rPr>
        <w:t xml:space="preserve">egression process. </w:t>
      </w:r>
      <w:r w:rsidRPr="00781F4C">
        <w:rPr>
          <w:rFonts w:asciiTheme="majorBidi" w:hAnsiTheme="majorBidi" w:cstheme="majorBidi"/>
          <w:i/>
          <w:iCs/>
          <w:sz w:val="18"/>
          <w:szCs w:val="18"/>
        </w:rPr>
        <w:t>Econometrica</w:t>
      </w:r>
      <w:r w:rsidR="00ED1AEF" w:rsidRPr="00781F4C">
        <w:rPr>
          <w:rFonts w:asciiTheme="majorBidi" w:hAnsiTheme="majorBidi" w:cstheme="majorBidi"/>
          <w:i/>
          <w:iCs/>
          <w:sz w:val="18"/>
          <w:szCs w:val="18"/>
        </w:rPr>
        <w:t>,</w:t>
      </w:r>
      <w:r w:rsidRPr="00781F4C">
        <w:rPr>
          <w:rFonts w:asciiTheme="majorBidi" w:hAnsiTheme="majorBidi" w:cstheme="majorBidi"/>
          <w:sz w:val="18"/>
          <w:szCs w:val="18"/>
        </w:rPr>
        <w:t xml:space="preserve"> 70(4):</w:t>
      </w:r>
      <w:r w:rsidR="00F31A6F" w:rsidRPr="00781F4C">
        <w:rPr>
          <w:rFonts w:asciiTheme="majorBidi" w:hAnsiTheme="majorBidi" w:cstheme="majorBidi"/>
          <w:sz w:val="18"/>
          <w:szCs w:val="18"/>
        </w:rPr>
        <w:t xml:space="preserve">1583-1612. </w:t>
      </w:r>
      <w:hyperlink r:id="rId22" w:history="1">
        <w:r w:rsidR="00F31A6F" w:rsidRPr="00781F4C">
          <w:rPr>
            <w:rFonts w:asciiTheme="majorBidi" w:hAnsiTheme="majorBidi" w:cstheme="majorBidi"/>
            <w:sz w:val="18"/>
            <w:szCs w:val="18"/>
          </w:rPr>
          <w:t>https://doi.org/1510.1111/1468-0262.00342</w:t>
        </w:r>
      </w:hyperlink>
      <w:r w:rsidR="00F31A6F" w:rsidRPr="00781F4C">
        <w:rPr>
          <w:rFonts w:asciiTheme="majorBidi" w:hAnsiTheme="majorBidi" w:cstheme="majorBidi"/>
          <w:sz w:val="18"/>
          <w:szCs w:val="18"/>
        </w:rPr>
        <w:t>.</w:t>
      </w:r>
    </w:p>
    <w:p w14:paraId="0AC8206D" w14:textId="44F102C1" w:rsidR="003E5B6D" w:rsidRPr="00781F4C" w:rsidRDefault="00A75AA5" w:rsidP="00B71320">
      <w:pPr>
        <w:spacing w:before="120"/>
        <w:ind w:left="284" w:hanging="284"/>
        <w:jc w:val="both"/>
        <w:rPr>
          <w:rFonts w:asciiTheme="majorBidi" w:hAnsiTheme="majorBidi" w:cstheme="majorBidi"/>
          <w:sz w:val="18"/>
          <w:szCs w:val="18"/>
        </w:rPr>
      </w:pPr>
      <w:r w:rsidRPr="00781F4C">
        <w:rPr>
          <w:rFonts w:asciiTheme="majorBidi" w:hAnsiTheme="majorBidi" w:cstheme="majorBidi"/>
          <w:sz w:val="18"/>
          <w:szCs w:val="18"/>
        </w:rPr>
        <w:t>Liddle B, Lung S, (2010)</w:t>
      </w:r>
      <w:r w:rsidR="003E5B6D" w:rsidRPr="00781F4C">
        <w:rPr>
          <w:rFonts w:asciiTheme="majorBidi" w:hAnsiTheme="majorBidi" w:cstheme="majorBidi"/>
          <w:sz w:val="18"/>
          <w:szCs w:val="18"/>
        </w:rPr>
        <w:t xml:space="preserve"> Age-structure, urbanization, and climate change in developed countries: revisiting STIRPAT for disaggregated population and consumpti</w:t>
      </w:r>
      <w:r w:rsidRPr="00781F4C">
        <w:rPr>
          <w:rFonts w:asciiTheme="majorBidi" w:hAnsiTheme="majorBidi" w:cstheme="majorBidi"/>
          <w:sz w:val="18"/>
          <w:szCs w:val="18"/>
        </w:rPr>
        <w:t xml:space="preserve">onrelated environmental impacts. Popul Environ </w:t>
      </w:r>
      <w:r w:rsidR="003E5B6D" w:rsidRPr="00781F4C">
        <w:rPr>
          <w:rFonts w:asciiTheme="majorBidi" w:hAnsiTheme="majorBidi" w:cstheme="majorBidi"/>
          <w:sz w:val="18"/>
          <w:szCs w:val="18"/>
        </w:rPr>
        <w:t>31:317– 43.</w:t>
      </w:r>
    </w:p>
    <w:p w14:paraId="03457444" w14:textId="4DE6E050" w:rsidR="00B923B5" w:rsidRPr="00781F4C" w:rsidRDefault="00A75AA5" w:rsidP="00B71320">
      <w:pPr>
        <w:spacing w:before="120"/>
        <w:ind w:left="284" w:hanging="284"/>
        <w:jc w:val="both"/>
        <w:rPr>
          <w:rFonts w:asciiTheme="majorBidi" w:hAnsiTheme="majorBidi" w:cstheme="majorBidi"/>
          <w:sz w:val="18"/>
          <w:szCs w:val="18"/>
        </w:rPr>
      </w:pPr>
      <w:r w:rsidRPr="00781F4C">
        <w:rPr>
          <w:rFonts w:asciiTheme="majorBidi" w:hAnsiTheme="majorBidi" w:cstheme="majorBidi"/>
          <w:sz w:val="18"/>
          <w:szCs w:val="18"/>
          <w:lang w:val="en-US"/>
        </w:rPr>
        <w:t>Lin</w:t>
      </w:r>
      <w:r w:rsidR="00E703CF" w:rsidRPr="00781F4C">
        <w:rPr>
          <w:rFonts w:asciiTheme="majorBidi" w:hAnsiTheme="majorBidi" w:cstheme="majorBidi"/>
          <w:sz w:val="18"/>
          <w:szCs w:val="18"/>
          <w:lang w:val="en-US"/>
        </w:rPr>
        <w:t xml:space="preserve"> D</w:t>
      </w:r>
      <w:r w:rsidR="00ED1AEF" w:rsidRPr="00781F4C">
        <w:rPr>
          <w:rFonts w:asciiTheme="majorBidi" w:hAnsiTheme="majorBidi" w:cstheme="majorBidi"/>
          <w:sz w:val="18"/>
          <w:szCs w:val="18"/>
          <w:lang w:val="en-US"/>
        </w:rPr>
        <w:t>.</w:t>
      </w:r>
      <w:r w:rsidR="00E703CF" w:rsidRPr="00781F4C">
        <w:rPr>
          <w:rFonts w:asciiTheme="majorBidi" w:hAnsiTheme="majorBidi" w:cstheme="majorBidi"/>
          <w:sz w:val="18"/>
          <w:szCs w:val="18"/>
          <w:lang w:val="en-US"/>
        </w:rPr>
        <w:t>, Hanscom L</w:t>
      </w:r>
      <w:r w:rsidR="00ED1AEF" w:rsidRPr="00781F4C">
        <w:rPr>
          <w:rFonts w:asciiTheme="majorBidi" w:hAnsiTheme="majorBidi" w:cstheme="majorBidi"/>
          <w:sz w:val="18"/>
          <w:szCs w:val="18"/>
          <w:lang w:val="en-US"/>
        </w:rPr>
        <w:t>.</w:t>
      </w:r>
      <w:r w:rsidR="00B923B5" w:rsidRPr="00781F4C">
        <w:rPr>
          <w:rFonts w:asciiTheme="majorBidi" w:hAnsiTheme="majorBidi" w:cstheme="majorBidi"/>
          <w:sz w:val="18"/>
          <w:szCs w:val="18"/>
          <w:lang w:val="en-US"/>
        </w:rPr>
        <w:t xml:space="preserve">, </w:t>
      </w:r>
      <w:r w:rsidR="00E703CF" w:rsidRPr="00781F4C">
        <w:rPr>
          <w:rFonts w:asciiTheme="majorBidi" w:hAnsiTheme="majorBidi" w:cstheme="majorBidi"/>
          <w:sz w:val="18"/>
          <w:szCs w:val="18"/>
          <w:lang w:val="en-US"/>
        </w:rPr>
        <w:t>Martindill J</w:t>
      </w:r>
      <w:r w:rsidR="00ED1AEF" w:rsidRPr="00781F4C">
        <w:rPr>
          <w:rFonts w:asciiTheme="majorBidi" w:hAnsiTheme="majorBidi" w:cstheme="majorBidi"/>
          <w:sz w:val="18"/>
          <w:szCs w:val="18"/>
          <w:lang w:val="en-US"/>
        </w:rPr>
        <w:t>.</w:t>
      </w:r>
      <w:r w:rsidR="00E703CF" w:rsidRPr="00781F4C">
        <w:rPr>
          <w:rFonts w:asciiTheme="majorBidi" w:hAnsiTheme="majorBidi" w:cstheme="majorBidi"/>
          <w:sz w:val="18"/>
          <w:szCs w:val="18"/>
          <w:lang w:val="en-US"/>
        </w:rPr>
        <w:t xml:space="preserve">, </w:t>
      </w:r>
      <w:proofErr w:type="spellStart"/>
      <w:r w:rsidR="00E703CF" w:rsidRPr="00781F4C">
        <w:rPr>
          <w:rFonts w:asciiTheme="majorBidi" w:hAnsiTheme="majorBidi" w:cstheme="majorBidi"/>
          <w:sz w:val="18"/>
          <w:szCs w:val="18"/>
          <w:lang w:val="en-US"/>
        </w:rPr>
        <w:t>Borucke</w:t>
      </w:r>
      <w:proofErr w:type="spellEnd"/>
      <w:r w:rsidR="00E703CF" w:rsidRPr="00781F4C">
        <w:rPr>
          <w:rFonts w:asciiTheme="majorBidi" w:hAnsiTheme="majorBidi" w:cstheme="majorBidi"/>
          <w:sz w:val="18"/>
          <w:szCs w:val="18"/>
          <w:lang w:val="en-US"/>
        </w:rPr>
        <w:t xml:space="preserve"> M</w:t>
      </w:r>
      <w:r w:rsidR="00ED1AEF" w:rsidRPr="00781F4C">
        <w:rPr>
          <w:rFonts w:asciiTheme="majorBidi" w:hAnsiTheme="majorBidi" w:cstheme="majorBidi"/>
          <w:sz w:val="18"/>
          <w:szCs w:val="18"/>
          <w:lang w:val="en-US"/>
        </w:rPr>
        <w:t>.</w:t>
      </w:r>
      <w:r w:rsidR="00E703CF" w:rsidRPr="00781F4C">
        <w:rPr>
          <w:rFonts w:asciiTheme="majorBidi" w:hAnsiTheme="majorBidi" w:cstheme="majorBidi"/>
          <w:sz w:val="18"/>
          <w:szCs w:val="18"/>
          <w:lang w:val="en-US"/>
        </w:rPr>
        <w:t>, Cohen L</w:t>
      </w:r>
      <w:r w:rsidR="00ED1AEF" w:rsidRPr="00781F4C">
        <w:rPr>
          <w:rFonts w:asciiTheme="majorBidi" w:hAnsiTheme="majorBidi" w:cstheme="majorBidi"/>
          <w:sz w:val="18"/>
          <w:szCs w:val="18"/>
          <w:lang w:val="en-US"/>
        </w:rPr>
        <w:t>.</w:t>
      </w:r>
      <w:r w:rsidR="00E703CF" w:rsidRPr="00781F4C">
        <w:rPr>
          <w:rFonts w:asciiTheme="majorBidi" w:hAnsiTheme="majorBidi" w:cstheme="majorBidi"/>
          <w:sz w:val="18"/>
          <w:szCs w:val="18"/>
          <w:lang w:val="en-US"/>
        </w:rPr>
        <w:t>, Galli A</w:t>
      </w:r>
      <w:r w:rsidR="00ED1AEF" w:rsidRPr="00781F4C">
        <w:rPr>
          <w:rFonts w:asciiTheme="majorBidi" w:hAnsiTheme="majorBidi" w:cstheme="majorBidi"/>
          <w:sz w:val="18"/>
          <w:szCs w:val="18"/>
          <w:lang w:val="en-US"/>
        </w:rPr>
        <w:t>.</w:t>
      </w:r>
      <w:r w:rsidR="00E703CF" w:rsidRPr="00781F4C">
        <w:rPr>
          <w:rFonts w:asciiTheme="majorBidi" w:hAnsiTheme="majorBidi" w:cstheme="majorBidi"/>
          <w:sz w:val="18"/>
          <w:szCs w:val="18"/>
          <w:lang w:val="en-US"/>
        </w:rPr>
        <w:t>, Lazarus E</w:t>
      </w:r>
      <w:r w:rsidR="00ED1AEF" w:rsidRPr="00781F4C">
        <w:rPr>
          <w:rFonts w:asciiTheme="majorBidi" w:hAnsiTheme="majorBidi" w:cstheme="majorBidi"/>
          <w:sz w:val="18"/>
          <w:szCs w:val="18"/>
          <w:lang w:val="en-US"/>
        </w:rPr>
        <w:t>.</w:t>
      </w:r>
      <w:r w:rsidR="00E703CF" w:rsidRPr="00781F4C">
        <w:rPr>
          <w:rFonts w:asciiTheme="majorBidi" w:hAnsiTheme="majorBidi" w:cstheme="majorBidi"/>
          <w:sz w:val="18"/>
          <w:szCs w:val="18"/>
          <w:lang w:val="en-US"/>
        </w:rPr>
        <w:t xml:space="preserve">, </w:t>
      </w:r>
      <w:proofErr w:type="spellStart"/>
      <w:r w:rsidR="00E703CF" w:rsidRPr="00781F4C">
        <w:rPr>
          <w:rFonts w:asciiTheme="majorBidi" w:hAnsiTheme="majorBidi" w:cstheme="majorBidi"/>
          <w:sz w:val="18"/>
          <w:szCs w:val="18"/>
          <w:lang w:val="en-US"/>
        </w:rPr>
        <w:t>Zokai</w:t>
      </w:r>
      <w:proofErr w:type="spellEnd"/>
      <w:r w:rsidR="00E703CF" w:rsidRPr="00781F4C">
        <w:rPr>
          <w:rFonts w:asciiTheme="majorBidi" w:hAnsiTheme="majorBidi" w:cstheme="majorBidi"/>
          <w:sz w:val="18"/>
          <w:szCs w:val="18"/>
          <w:lang w:val="en-US"/>
        </w:rPr>
        <w:t xml:space="preserve"> G</w:t>
      </w:r>
      <w:r w:rsidR="00ED1AEF" w:rsidRPr="00781F4C">
        <w:rPr>
          <w:rFonts w:asciiTheme="majorBidi" w:hAnsiTheme="majorBidi" w:cstheme="majorBidi"/>
          <w:sz w:val="18"/>
          <w:szCs w:val="18"/>
          <w:lang w:val="en-US"/>
        </w:rPr>
        <w:t>.</w:t>
      </w:r>
      <w:r w:rsidR="00E703CF" w:rsidRPr="00781F4C">
        <w:rPr>
          <w:rFonts w:asciiTheme="majorBidi" w:hAnsiTheme="majorBidi" w:cstheme="majorBidi"/>
          <w:sz w:val="18"/>
          <w:szCs w:val="18"/>
          <w:lang w:val="en-US"/>
        </w:rPr>
        <w:t>, Iha K</w:t>
      </w:r>
      <w:r w:rsidR="00ED1AEF" w:rsidRPr="00781F4C">
        <w:rPr>
          <w:rFonts w:asciiTheme="majorBidi" w:hAnsiTheme="majorBidi" w:cstheme="majorBidi"/>
          <w:sz w:val="18"/>
          <w:szCs w:val="18"/>
          <w:lang w:val="en-US"/>
        </w:rPr>
        <w:t>.</w:t>
      </w:r>
      <w:r w:rsidR="00B923B5" w:rsidRPr="00781F4C">
        <w:rPr>
          <w:rFonts w:asciiTheme="majorBidi" w:hAnsiTheme="majorBidi" w:cstheme="majorBidi"/>
          <w:sz w:val="18"/>
          <w:szCs w:val="18"/>
          <w:lang w:val="en-US"/>
        </w:rPr>
        <w:t>,</w:t>
      </w:r>
      <w:r w:rsidR="00E073A5" w:rsidRPr="00781F4C">
        <w:rPr>
          <w:rFonts w:asciiTheme="majorBidi" w:hAnsiTheme="majorBidi" w:cstheme="majorBidi"/>
          <w:sz w:val="18"/>
          <w:szCs w:val="18"/>
          <w:lang w:val="en-US"/>
        </w:rPr>
        <w:t xml:space="preserve"> </w:t>
      </w:r>
      <w:r w:rsidR="00E703CF" w:rsidRPr="00781F4C">
        <w:rPr>
          <w:rFonts w:asciiTheme="majorBidi" w:hAnsiTheme="majorBidi" w:cstheme="majorBidi"/>
          <w:sz w:val="18"/>
          <w:szCs w:val="18"/>
          <w:lang w:val="en-US"/>
        </w:rPr>
        <w:t>Eaton D</w:t>
      </w:r>
      <w:r w:rsidR="00ED1AEF" w:rsidRPr="00781F4C">
        <w:rPr>
          <w:rFonts w:asciiTheme="majorBidi" w:hAnsiTheme="majorBidi" w:cstheme="majorBidi"/>
          <w:sz w:val="18"/>
          <w:szCs w:val="18"/>
          <w:lang w:val="en-US"/>
        </w:rPr>
        <w:t>.</w:t>
      </w:r>
      <w:r w:rsidR="00E703CF" w:rsidRPr="00781F4C">
        <w:rPr>
          <w:rFonts w:asciiTheme="majorBidi" w:hAnsiTheme="majorBidi" w:cstheme="majorBidi"/>
          <w:sz w:val="18"/>
          <w:szCs w:val="18"/>
          <w:lang w:val="en-US"/>
        </w:rPr>
        <w:t xml:space="preserve"> (2020)</w:t>
      </w:r>
      <w:r w:rsidR="00ED1AEF" w:rsidRPr="00781F4C">
        <w:rPr>
          <w:rFonts w:asciiTheme="majorBidi" w:hAnsiTheme="majorBidi" w:cstheme="majorBidi"/>
          <w:sz w:val="18"/>
          <w:szCs w:val="18"/>
          <w:lang w:val="en-US"/>
        </w:rPr>
        <w:t>.</w:t>
      </w:r>
      <w:r w:rsidR="00E703CF" w:rsidRPr="00781F4C">
        <w:rPr>
          <w:rFonts w:asciiTheme="majorBidi" w:hAnsiTheme="majorBidi" w:cstheme="majorBidi"/>
          <w:sz w:val="18"/>
          <w:szCs w:val="18"/>
          <w:lang w:val="en-US"/>
        </w:rPr>
        <w:t xml:space="preserve"> </w:t>
      </w:r>
      <w:r w:rsidR="00B923B5" w:rsidRPr="00781F4C">
        <w:rPr>
          <w:rFonts w:asciiTheme="majorBidi" w:hAnsiTheme="majorBidi" w:cstheme="majorBidi"/>
          <w:sz w:val="18"/>
          <w:szCs w:val="18"/>
          <w:lang w:val="en-US"/>
        </w:rPr>
        <w:t>Working Guidebook to the National Foo</w:t>
      </w:r>
      <w:r w:rsidR="00E703CF" w:rsidRPr="00781F4C">
        <w:rPr>
          <w:rFonts w:asciiTheme="majorBidi" w:hAnsiTheme="majorBidi" w:cstheme="majorBidi"/>
          <w:sz w:val="18"/>
          <w:szCs w:val="18"/>
          <w:lang w:val="en-US"/>
        </w:rPr>
        <w:t>tprint and Biocapacity Accounts</w:t>
      </w:r>
      <w:r w:rsidR="00ED1AEF" w:rsidRPr="00781F4C">
        <w:rPr>
          <w:rFonts w:asciiTheme="majorBidi" w:hAnsiTheme="majorBidi" w:cstheme="majorBidi"/>
          <w:sz w:val="18"/>
          <w:szCs w:val="18"/>
          <w:lang w:val="en-US"/>
        </w:rPr>
        <w:t>.</w:t>
      </w:r>
      <w:r w:rsidR="00B923B5" w:rsidRPr="00781F4C">
        <w:rPr>
          <w:rFonts w:asciiTheme="majorBidi" w:hAnsiTheme="majorBidi" w:cstheme="majorBidi"/>
          <w:sz w:val="18"/>
          <w:szCs w:val="18"/>
          <w:lang w:val="en-US"/>
        </w:rPr>
        <w:t xml:space="preserve"> </w:t>
      </w:r>
      <w:r w:rsidR="00B923B5" w:rsidRPr="00781F4C">
        <w:rPr>
          <w:rFonts w:asciiTheme="majorBidi" w:hAnsiTheme="majorBidi" w:cstheme="majorBidi"/>
          <w:i/>
          <w:iCs/>
          <w:sz w:val="18"/>
          <w:szCs w:val="18"/>
          <w:lang w:val="en-US"/>
        </w:rPr>
        <w:t>Global Footprint Network</w:t>
      </w:r>
      <w:r w:rsidR="00E703CF" w:rsidRPr="00781F4C">
        <w:rPr>
          <w:rFonts w:asciiTheme="majorBidi" w:hAnsiTheme="majorBidi" w:cstheme="majorBidi"/>
          <w:sz w:val="18"/>
          <w:szCs w:val="18"/>
          <w:lang w:val="en-US"/>
        </w:rPr>
        <w:t>, Oakland CA</w:t>
      </w:r>
      <w:r w:rsidR="00B923B5" w:rsidRPr="00781F4C">
        <w:rPr>
          <w:rFonts w:asciiTheme="majorBidi" w:hAnsiTheme="majorBidi" w:cstheme="majorBidi"/>
          <w:sz w:val="18"/>
          <w:szCs w:val="18"/>
          <w:lang w:val="en-US"/>
        </w:rPr>
        <w:t xml:space="preserve"> USA. </w:t>
      </w:r>
      <w:hyperlink r:id="rId23" w:history="1">
        <w:r w:rsidR="00B923B5" w:rsidRPr="00781F4C">
          <w:rPr>
            <w:rFonts w:asciiTheme="majorBidi" w:hAnsiTheme="majorBidi" w:cstheme="majorBidi"/>
            <w:sz w:val="18"/>
            <w:szCs w:val="18"/>
          </w:rPr>
          <w:t>http://www.footprintnetwork.org/</w:t>
        </w:r>
      </w:hyperlink>
      <w:r w:rsidR="00631859" w:rsidRPr="00781F4C">
        <w:rPr>
          <w:rFonts w:asciiTheme="majorBidi" w:hAnsiTheme="majorBidi" w:cstheme="majorBidi"/>
          <w:sz w:val="18"/>
          <w:szCs w:val="18"/>
        </w:rPr>
        <w:t>.</w:t>
      </w:r>
    </w:p>
    <w:p w14:paraId="1794B729" w14:textId="2DDBE0E3" w:rsidR="00295008" w:rsidRPr="00CF6621" w:rsidRDefault="00E703CF" w:rsidP="00B71320">
      <w:pPr>
        <w:spacing w:before="120"/>
        <w:ind w:left="284" w:hanging="284"/>
        <w:jc w:val="both"/>
        <w:rPr>
          <w:rFonts w:asciiTheme="majorBidi" w:hAnsiTheme="majorBidi" w:cstheme="majorBidi"/>
          <w:color w:val="000000" w:themeColor="text1"/>
          <w:sz w:val="18"/>
          <w:szCs w:val="18"/>
          <w:lang w:val="en-US"/>
        </w:rPr>
      </w:pPr>
      <w:proofErr w:type="spellStart"/>
      <w:r w:rsidRPr="00781F4C">
        <w:rPr>
          <w:rFonts w:asciiTheme="majorBidi" w:hAnsiTheme="majorBidi" w:cstheme="majorBidi"/>
          <w:sz w:val="18"/>
          <w:szCs w:val="18"/>
          <w:lang w:val="en-US"/>
        </w:rPr>
        <w:t>Lv</w:t>
      </w:r>
      <w:proofErr w:type="spellEnd"/>
      <w:r w:rsidRPr="00781F4C">
        <w:rPr>
          <w:rFonts w:asciiTheme="majorBidi" w:hAnsiTheme="majorBidi" w:cstheme="majorBidi"/>
          <w:sz w:val="18"/>
          <w:szCs w:val="18"/>
          <w:lang w:val="en-US"/>
        </w:rPr>
        <w:t xml:space="preserve"> Z</w:t>
      </w:r>
      <w:r w:rsidR="00ED1AEF"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Xu T</w:t>
      </w:r>
      <w:r w:rsidR="00ED1AEF"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xml:space="preserve"> (2019)</w:t>
      </w:r>
      <w:r w:rsidR="00ED1AEF" w:rsidRPr="00781F4C">
        <w:rPr>
          <w:rFonts w:asciiTheme="majorBidi" w:hAnsiTheme="majorBidi" w:cstheme="majorBidi"/>
          <w:sz w:val="18"/>
          <w:szCs w:val="18"/>
          <w:lang w:val="en-US"/>
        </w:rPr>
        <w:t>.</w:t>
      </w:r>
      <w:r w:rsidR="00295008" w:rsidRPr="00781F4C">
        <w:rPr>
          <w:rFonts w:asciiTheme="majorBidi" w:hAnsiTheme="majorBidi" w:cstheme="majorBidi"/>
          <w:sz w:val="18"/>
          <w:szCs w:val="18"/>
          <w:lang w:val="en-US"/>
        </w:rPr>
        <w:t xml:space="preserve"> Trade openness, urbanization and CO2 emissions: Dynamic panel data analysis of middle-income countries. </w:t>
      </w:r>
      <w:r w:rsidR="00295008" w:rsidRPr="00781F4C">
        <w:rPr>
          <w:rFonts w:asciiTheme="majorBidi" w:hAnsiTheme="majorBidi" w:cstheme="majorBidi"/>
          <w:i/>
          <w:iCs/>
          <w:sz w:val="18"/>
          <w:szCs w:val="18"/>
          <w:lang w:val="en-US"/>
        </w:rPr>
        <w:t>The Journal of Internation</w:t>
      </w:r>
      <w:r w:rsidRPr="00781F4C">
        <w:rPr>
          <w:rFonts w:asciiTheme="majorBidi" w:hAnsiTheme="majorBidi" w:cstheme="majorBidi"/>
          <w:i/>
          <w:iCs/>
          <w:sz w:val="18"/>
          <w:szCs w:val="18"/>
          <w:lang w:val="en-US"/>
        </w:rPr>
        <w:t>al Trade &amp; Economic Development</w:t>
      </w:r>
      <w:r w:rsidR="00ED1AEF"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xml:space="preserve"> 28(3):</w:t>
      </w:r>
      <w:r w:rsidR="00295008" w:rsidRPr="00781F4C">
        <w:rPr>
          <w:rFonts w:asciiTheme="majorBidi" w:hAnsiTheme="majorBidi" w:cstheme="majorBidi"/>
          <w:sz w:val="18"/>
          <w:szCs w:val="18"/>
          <w:lang w:val="en-US"/>
        </w:rPr>
        <w:t xml:space="preserve">317-330. </w:t>
      </w:r>
      <w:hyperlink r:id="rId24" w:history="1">
        <w:r w:rsidR="00B1096B" w:rsidRPr="00CF6621">
          <w:rPr>
            <w:rStyle w:val="Hyperlink"/>
            <w:rFonts w:asciiTheme="majorBidi" w:hAnsiTheme="majorBidi" w:cstheme="majorBidi"/>
            <w:color w:val="000000" w:themeColor="text1"/>
            <w:sz w:val="18"/>
            <w:szCs w:val="18"/>
            <w:u w:val="none"/>
            <w:lang w:val="en-US"/>
          </w:rPr>
          <w:t>https://doi.org/310.1080/09638199.09632018.01534878</w:t>
        </w:r>
      </w:hyperlink>
      <w:r w:rsidR="00295008" w:rsidRPr="00CF6621">
        <w:rPr>
          <w:rFonts w:asciiTheme="majorBidi" w:hAnsiTheme="majorBidi" w:cstheme="majorBidi"/>
          <w:color w:val="000000" w:themeColor="text1"/>
          <w:sz w:val="18"/>
          <w:szCs w:val="18"/>
          <w:lang w:val="en-US"/>
        </w:rPr>
        <w:t>.</w:t>
      </w:r>
    </w:p>
    <w:p w14:paraId="26C3994A" w14:textId="62DA2D40" w:rsidR="00B1096B" w:rsidRPr="00781F4C" w:rsidRDefault="00E703CF" w:rsidP="00B71320">
      <w:pPr>
        <w:spacing w:before="120"/>
        <w:ind w:left="284" w:hanging="284"/>
        <w:jc w:val="both"/>
        <w:rPr>
          <w:rFonts w:asciiTheme="majorBidi" w:hAnsiTheme="majorBidi" w:cstheme="majorBidi"/>
          <w:sz w:val="18"/>
          <w:szCs w:val="18"/>
        </w:rPr>
      </w:pPr>
      <w:r w:rsidRPr="00781F4C">
        <w:rPr>
          <w:rFonts w:asciiTheme="majorBidi" w:hAnsiTheme="majorBidi" w:cstheme="majorBidi"/>
          <w:sz w:val="18"/>
          <w:szCs w:val="18"/>
        </w:rPr>
        <w:t>Malthus T</w:t>
      </w:r>
      <w:r w:rsidR="00ED1AEF" w:rsidRPr="00781F4C">
        <w:rPr>
          <w:rFonts w:asciiTheme="majorBidi" w:hAnsiTheme="majorBidi" w:cstheme="majorBidi"/>
          <w:sz w:val="18"/>
          <w:szCs w:val="18"/>
        </w:rPr>
        <w:t>.</w:t>
      </w:r>
      <w:r w:rsidRPr="00781F4C">
        <w:rPr>
          <w:rFonts w:asciiTheme="majorBidi" w:hAnsiTheme="majorBidi" w:cstheme="majorBidi"/>
          <w:sz w:val="18"/>
          <w:szCs w:val="18"/>
        </w:rPr>
        <w:t xml:space="preserve"> (1803)</w:t>
      </w:r>
      <w:r w:rsidR="00ED1AEF" w:rsidRPr="00781F4C">
        <w:rPr>
          <w:rFonts w:asciiTheme="majorBidi" w:hAnsiTheme="majorBidi" w:cstheme="majorBidi"/>
          <w:sz w:val="18"/>
          <w:szCs w:val="18"/>
        </w:rPr>
        <w:t>.</w:t>
      </w:r>
      <w:r w:rsidR="00B1096B" w:rsidRPr="00781F4C">
        <w:rPr>
          <w:rFonts w:asciiTheme="majorBidi" w:hAnsiTheme="majorBidi" w:cstheme="majorBidi"/>
          <w:sz w:val="18"/>
          <w:szCs w:val="18"/>
        </w:rPr>
        <w:t xml:space="preserve"> An Essay on the Principle of Population, as It Affects the Future Improvement of Society. (First Essay on Population,1796 ,and </w:t>
      </w:r>
      <w:r w:rsidR="0044438E" w:rsidRPr="00781F4C">
        <w:rPr>
          <w:rFonts w:asciiTheme="majorBidi" w:hAnsiTheme="majorBidi" w:cstheme="majorBidi"/>
          <w:sz w:val="18"/>
          <w:szCs w:val="18"/>
        </w:rPr>
        <w:t>Second Essay on Population</w:t>
      </w:r>
      <w:r w:rsidR="00B1096B" w:rsidRPr="00781F4C">
        <w:rPr>
          <w:rFonts w:asciiTheme="majorBidi" w:hAnsiTheme="majorBidi" w:cstheme="majorBidi"/>
          <w:sz w:val="18"/>
          <w:szCs w:val="18"/>
        </w:rPr>
        <w:t>). New York: Modern Library and Random House.</w:t>
      </w:r>
    </w:p>
    <w:p w14:paraId="16D65EAF" w14:textId="7B07D1F2" w:rsidR="00295008" w:rsidRPr="00781F4C" w:rsidRDefault="0044438E" w:rsidP="00B71320">
      <w:pPr>
        <w:spacing w:before="120"/>
        <w:ind w:left="284" w:hanging="284"/>
        <w:jc w:val="both"/>
        <w:rPr>
          <w:rFonts w:asciiTheme="majorBidi" w:hAnsiTheme="majorBidi" w:cstheme="majorBidi"/>
          <w:sz w:val="18"/>
          <w:szCs w:val="18"/>
          <w:lang w:val="en-US"/>
        </w:rPr>
      </w:pPr>
      <w:r w:rsidRPr="00781F4C">
        <w:rPr>
          <w:rFonts w:asciiTheme="majorBidi" w:hAnsiTheme="majorBidi" w:cstheme="majorBidi"/>
          <w:sz w:val="18"/>
          <w:szCs w:val="18"/>
          <w:lang w:val="en-US"/>
        </w:rPr>
        <w:t>Murshed M, Dao NTT</w:t>
      </w:r>
      <w:r w:rsidR="00ED1AEF"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xml:space="preserve"> (2020)</w:t>
      </w:r>
      <w:r w:rsidR="00ED1AEF" w:rsidRPr="00781F4C">
        <w:rPr>
          <w:rFonts w:asciiTheme="majorBidi" w:hAnsiTheme="majorBidi" w:cstheme="majorBidi"/>
          <w:sz w:val="18"/>
          <w:szCs w:val="18"/>
          <w:lang w:val="en-US"/>
        </w:rPr>
        <w:t>.</w:t>
      </w:r>
      <w:r w:rsidR="00295008" w:rsidRPr="00781F4C">
        <w:rPr>
          <w:rFonts w:asciiTheme="majorBidi" w:hAnsiTheme="majorBidi" w:cstheme="majorBidi"/>
          <w:sz w:val="18"/>
          <w:szCs w:val="18"/>
          <w:lang w:val="en-US"/>
        </w:rPr>
        <w:t xml:space="preserve"> Revisiting the CO2 emission-induced EKC hypothesis in South Asia: the role of Export Quality Improvement. </w:t>
      </w:r>
      <w:proofErr w:type="spellStart"/>
      <w:r w:rsidR="00295008" w:rsidRPr="00781F4C">
        <w:rPr>
          <w:rFonts w:asciiTheme="majorBidi" w:hAnsiTheme="majorBidi" w:cstheme="majorBidi"/>
          <w:i/>
          <w:iCs/>
          <w:sz w:val="18"/>
          <w:szCs w:val="18"/>
          <w:lang w:val="en-US"/>
        </w:rPr>
        <w:t>GeoJourn</w:t>
      </w:r>
      <w:r w:rsidRPr="00781F4C">
        <w:rPr>
          <w:rFonts w:asciiTheme="majorBidi" w:hAnsiTheme="majorBidi" w:cstheme="majorBidi"/>
          <w:i/>
          <w:iCs/>
          <w:sz w:val="18"/>
          <w:szCs w:val="18"/>
          <w:lang w:val="en-US"/>
        </w:rPr>
        <w:t>al</w:t>
      </w:r>
      <w:proofErr w:type="spellEnd"/>
      <w:r w:rsidR="00ED1AEF" w:rsidRPr="00781F4C">
        <w:rPr>
          <w:rFonts w:asciiTheme="majorBidi" w:hAnsiTheme="majorBidi" w:cstheme="majorBidi"/>
          <w:sz w:val="18"/>
          <w:szCs w:val="18"/>
          <w:lang w:val="en-US"/>
        </w:rPr>
        <w:t xml:space="preserve">, </w:t>
      </w:r>
      <w:r w:rsidR="00295008" w:rsidRPr="00781F4C">
        <w:rPr>
          <w:rFonts w:asciiTheme="majorBidi" w:hAnsiTheme="majorBidi" w:cstheme="majorBidi"/>
          <w:sz w:val="18"/>
          <w:szCs w:val="18"/>
          <w:lang w:val="en-US"/>
        </w:rPr>
        <w:t>1-29. https://doi.org/10.1007/s10708-10020-10270-10709.</w:t>
      </w:r>
    </w:p>
    <w:p w14:paraId="1699B119" w14:textId="1AD6A102" w:rsidR="006F4550" w:rsidRPr="00781F4C" w:rsidRDefault="0044438E" w:rsidP="00B71320">
      <w:pPr>
        <w:spacing w:before="120"/>
        <w:ind w:left="284" w:hanging="284"/>
        <w:jc w:val="both"/>
        <w:rPr>
          <w:rFonts w:asciiTheme="majorBidi" w:hAnsiTheme="majorBidi" w:cstheme="majorBidi"/>
          <w:sz w:val="18"/>
          <w:szCs w:val="18"/>
          <w:lang w:val="en-US"/>
        </w:rPr>
      </w:pPr>
      <w:r w:rsidRPr="00781F4C">
        <w:rPr>
          <w:rFonts w:asciiTheme="majorBidi" w:hAnsiTheme="majorBidi" w:cstheme="majorBidi"/>
          <w:sz w:val="18"/>
          <w:szCs w:val="18"/>
          <w:lang w:val="en-US"/>
        </w:rPr>
        <w:t>Neagu O</w:t>
      </w:r>
      <w:r w:rsidR="00ED1AEF"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xml:space="preserve"> (2020)</w:t>
      </w:r>
      <w:r w:rsidR="00ED1AEF" w:rsidRPr="00781F4C">
        <w:rPr>
          <w:rFonts w:asciiTheme="majorBidi" w:hAnsiTheme="majorBidi" w:cstheme="majorBidi"/>
          <w:sz w:val="18"/>
          <w:szCs w:val="18"/>
          <w:lang w:val="en-US"/>
        </w:rPr>
        <w:t>.</w:t>
      </w:r>
      <w:r w:rsidR="004F5C32" w:rsidRPr="00781F4C">
        <w:rPr>
          <w:rFonts w:asciiTheme="majorBidi" w:hAnsiTheme="majorBidi" w:cstheme="majorBidi"/>
          <w:sz w:val="18"/>
          <w:szCs w:val="18"/>
          <w:lang w:val="en-US"/>
        </w:rPr>
        <w:t xml:space="preserve"> Economic Complexity and Ecological Footprint: Evidence from the Most Complex Economies in the World.</w:t>
      </w:r>
      <w:r w:rsidRPr="00781F4C">
        <w:rPr>
          <w:rFonts w:asciiTheme="majorBidi" w:hAnsiTheme="majorBidi" w:cstheme="majorBidi"/>
          <w:sz w:val="18"/>
          <w:szCs w:val="18"/>
          <w:lang w:val="en-US"/>
        </w:rPr>
        <w:t xml:space="preserve"> </w:t>
      </w:r>
      <w:r w:rsidR="004F5C32" w:rsidRPr="00781F4C">
        <w:rPr>
          <w:rFonts w:asciiTheme="majorBidi" w:hAnsiTheme="majorBidi" w:cstheme="majorBidi"/>
          <w:i/>
          <w:iCs/>
          <w:sz w:val="18"/>
          <w:szCs w:val="18"/>
          <w:lang w:val="en-US"/>
        </w:rPr>
        <w:t>Sustainability</w:t>
      </w:r>
      <w:r w:rsidR="00ED1AEF" w:rsidRPr="00781F4C">
        <w:rPr>
          <w:rFonts w:asciiTheme="majorBidi" w:hAnsiTheme="majorBidi" w:cstheme="majorBidi"/>
          <w:i/>
          <w:iCs/>
          <w:sz w:val="18"/>
          <w:szCs w:val="18"/>
          <w:lang w:val="en-US"/>
        </w:rPr>
        <w:t>,</w:t>
      </w:r>
      <w:r w:rsidRPr="00781F4C">
        <w:rPr>
          <w:rFonts w:asciiTheme="majorBidi" w:hAnsiTheme="majorBidi" w:cstheme="majorBidi"/>
          <w:sz w:val="18"/>
          <w:szCs w:val="18"/>
          <w:lang w:val="en-US"/>
        </w:rPr>
        <w:t xml:space="preserve"> 12(21):</w:t>
      </w:r>
      <w:r w:rsidR="004F5C32" w:rsidRPr="00781F4C">
        <w:rPr>
          <w:rFonts w:asciiTheme="majorBidi" w:hAnsiTheme="majorBidi" w:cstheme="majorBidi"/>
          <w:sz w:val="18"/>
          <w:szCs w:val="18"/>
          <w:lang w:val="en-US"/>
        </w:rPr>
        <w:t xml:space="preserve">1-18. </w:t>
      </w:r>
      <w:hyperlink r:id="rId25" w:history="1">
        <w:r w:rsidR="004F5C32" w:rsidRPr="00781F4C">
          <w:rPr>
            <w:rFonts w:asciiTheme="majorBidi" w:hAnsiTheme="majorBidi" w:cstheme="majorBidi"/>
            <w:sz w:val="18"/>
            <w:szCs w:val="18"/>
            <w:lang w:val="en-US"/>
          </w:rPr>
          <w:t>https://doi.org/10.3390/su12219031</w:t>
        </w:r>
      </w:hyperlink>
      <w:r w:rsidR="004F5C32" w:rsidRPr="00781F4C">
        <w:rPr>
          <w:rFonts w:asciiTheme="majorBidi" w:hAnsiTheme="majorBidi" w:cstheme="majorBidi"/>
          <w:sz w:val="18"/>
          <w:szCs w:val="18"/>
          <w:lang w:val="en-US"/>
        </w:rPr>
        <w:t>.</w:t>
      </w:r>
    </w:p>
    <w:p w14:paraId="11E58BFF" w14:textId="1EF23368" w:rsidR="00295008" w:rsidRPr="00781F4C" w:rsidRDefault="0044438E" w:rsidP="00B71320">
      <w:pPr>
        <w:spacing w:before="120"/>
        <w:ind w:left="284" w:hanging="284"/>
        <w:jc w:val="both"/>
        <w:rPr>
          <w:rFonts w:asciiTheme="majorBidi" w:hAnsiTheme="majorBidi" w:cstheme="majorBidi"/>
          <w:sz w:val="18"/>
          <w:szCs w:val="18"/>
          <w:lang w:val="en-US"/>
        </w:rPr>
      </w:pPr>
      <w:r w:rsidRPr="00781F4C">
        <w:rPr>
          <w:rFonts w:asciiTheme="majorBidi" w:hAnsiTheme="majorBidi" w:cstheme="majorBidi"/>
          <w:sz w:val="18"/>
          <w:szCs w:val="18"/>
          <w:lang w:val="en-US"/>
        </w:rPr>
        <w:t>Pedroni P</w:t>
      </w:r>
      <w:r w:rsidR="00ED1AEF"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xml:space="preserve"> (1999)</w:t>
      </w:r>
      <w:r w:rsidR="00ED1AEF" w:rsidRPr="00781F4C">
        <w:rPr>
          <w:rFonts w:asciiTheme="majorBidi" w:hAnsiTheme="majorBidi" w:cstheme="majorBidi"/>
          <w:sz w:val="18"/>
          <w:szCs w:val="18"/>
          <w:lang w:val="en-US"/>
        </w:rPr>
        <w:t>.</w:t>
      </w:r>
      <w:r w:rsidR="00295008" w:rsidRPr="00781F4C">
        <w:rPr>
          <w:rFonts w:asciiTheme="majorBidi" w:hAnsiTheme="majorBidi" w:cstheme="majorBidi"/>
          <w:sz w:val="18"/>
          <w:szCs w:val="18"/>
          <w:lang w:val="en-US"/>
        </w:rPr>
        <w:t xml:space="preserve"> Critical values for cointegration tests in heterogeneous panels with multiple regressors. </w:t>
      </w:r>
      <w:r w:rsidR="00295008" w:rsidRPr="00781F4C">
        <w:rPr>
          <w:rFonts w:asciiTheme="majorBidi" w:hAnsiTheme="majorBidi" w:cstheme="majorBidi"/>
          <w:i/>
          <w:sz w:val="18"/>
          <w:szCs w:val="18"/>
          <w:lang w:val="en-US"/>
        </w:rPr>
        <w:t>Oxford Bulle</w:t>
      </w:r>
      <w:r w:rsidRPr="00781F4C">
        <w:rPr>
          <w:rFonts w:asciiTheme="majorBidi" w:hAnsiTheme="majorBidi" w:cstheme="majorBidi"/>
          <w:i/>
          <w:sz w:val="18"/>
          <w:szCs w:val="18"/>
          <w:lang w:val="en-US"/>
        </w:rPr>
        <w:t>tin of Economics and statistics</w:t>
      </w:r>
      <w:r w:rsidR="00ED1AEF" w:rsidRPr="00781F4C">
        <w:rPr>
          <w:rFonts w:asciiTheme="majorBidi" w:hAnsiTheme="majorBidi" w:cstheme="majorBidi"/>
          <w:i/>
          <w:sz w:val="18"/>
          <w:szCs w:val="18"/>
          <w:lang w:val="en-US"/>
        </w:rPr>
        <w:t>,</w:t>
      </w:r>
      <w:r w:rsidR="00295008" w:rsidRPr="00781F4C">
        <w:rPr>
          <w:rFonts w:asciiTheme="majorBidi" w:hAnsiTheme="majorBidi" w:cstheme="majorBidi"/>
          <w:i/>
          <w:sz w:val="18"/>
          <w:szCs w:val="18"/>
          <w:lang w:val="en-US"/>
        </w:rPr>
        <w:t xml:space="preserve"> 61</w:t>
      </w:r>
      <w:r w:rsidRPr="00781F4C">
        <w:rPr>
          <w:rFonts w:asciiTheme="majorBidi" w:hAnsiTheme="majorBidi" w:cstheme="majorBidi"/>
          <w:sz w:val="18"/>
          <w:szCs w:val="18"/>
          <w:lang w:val="en-US"/>
        </w:rPr>
        <w:t>(S1):</w:t>
      </w:r>
      <w:r w:rsidR="00ED1AEF" w:rsidRPr="00781F4C">
        <w:rPr>
          <w:rFonts w:asciiTheme="majorBidi" w:hAnsiTheme="majorBidi" w:cstheme="majorBidi"/>
          <w:sz w:val="18"/>
          <w:szCs w:val="18"/>
          <w:lang w:val="en-US"/>
        </w:rPr>
        <w:t xml:space="preserve"> </w:t>
      </w:r>
      <w:r w:rsidR="00295008" w:rsidRPr="00781F4C">
        <w:rPr>
          <w:rFonts w:asciiTheme="majorBidi" w:hAnsiTheme="majorBidi" w:cstheme="majorBidi"/>
          <w:sz w:val="18"/>
          <w:szCs w:val="18"/>
          <w:lang w:val="en-US"/>
        </w:rPr>
        <w:t xml:space="preserve">653-670.  </w:t>
      </w:r>
      <w:hyperlink r:id="rId26" w:history="1">
        <w:r w:rsidR="00295008" w:rsidRPr="00781F4C">
          <w:rPr>
            <w:rStyle w:val="Hyperlink"/>
            <w:rFonts w:asciiTheme="majorBidi" w:hAnsiTheme="majorBidi" w:cstheme="majorBidi"/>
            <w:color w:val="auto"/>
            <w:sz w:val="18"/>
            <w:szCs w:val="18"/>
            <w:u w:val="none"/>
            <w:lang w:val="en-US"/>
          </w:rPr>
          <w:t>https://doi.org/610.1111/1468-0084.0610s1653</w:t>
        </w:r>
      </w:hyperlink>
      <w:r w:rsidR="00295008" w:rsidRPr="00781F4C">
        <w:rPr>
          <w:rFonts w:asciiTheme="majorBidi" w:hAnsiTheme="majorBidi" w:cstheme="majorBidi"/>
          <w:sz w:val="18"/>
          <w:szCs w:val="18"/>
          <w:lang w:val="en-US"/>
        </w:rPr>
        <w:t>.</w:t>
      </w:r>
    </w:p>
    <w:p w14:paraId="2E386CC9" w14:textId="3D445D76" w:rsidR="00295008" w:rsidRPr="00781F4C" w:rsidRDefault="0044438E" w:rsidP="00B71320">
      <w:pPr>
        <w:spacing w:before="120"/>
        <w:ind w:left="284" w:hanging="284"/>
        <w:jc w:val="both"/>
        <w:rPr>
          <w:rFonts w:asciiTheme="majorBidi" w:hAnsiTheme="majorBidi" w:cstheme="majorBidi"/>
          <w:sz w:val="18"/>
          <w:szCs w:val="18"/>
          <w:lang w:val="en-US"/>
        </w:rPr>
      </w:pPr>
      <w:proofErr w:type="spellStart"/>
      <w:r w:rsidRPr="00781F4C">
        <w:rPr>
          <w:rFonts w:asciiTheme="majorBidi" w:hAnsiTheme="majorBidi" w:cstheme="majorBidi"/>
          <w:sz w:val="18"/>
          <w:szCs w:val="18"/>
          <w:lang w:val="en-US"/>
        </w:rPr>
        <w:t>Pesaran</w:t>
      </w:r>
      <w:proofErr w:type="spellEnd"/>
      <w:r w:rsidRPr="00781F4C">
        <w:rPr>
          <w:rFonts w:asciiTheme="majorBidi" w:hAnsiTheme="majorBidi" w:cstheme="majorBidi"/>
          <w:sz w:val="18"/>
          <w:szCs w:val="18"/>
          <w:lang w:val="en-US"/>
        </w:rPr>
        <w:t xml:space="preserve"> H</w:t>
      </w:r>
      <w:r w:rsidR="00ED1AEF"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xml:space="preserve"> (2004)</w:t>
      </w:r>
      <w:r w:rsidR="00ED1AEF" w:rsidRPr="00781F4C">
        <w:rPr>
          <w:rFonts w:asciiTheme="majorBidi" w:hAnsiTheme="majorBidi" w:cstheme="majorBidi"/>
          <w:sz w:val="18"/>
          <w:szCs w:val="18"/>
          <w:lang w:val="en-US"/>
        </w:rPr>
        <w:t>.</w:t>
      </w:r>
      <w:r w:rsidR="00295008" w:rsidRPr="00781F4C">
        <w:rPr>
          <w:rFonts w:asciiTheme="majorBidi" w:hAnsiTheme="majorBidi" w:cstheme="majorBidi"/>
          <w:sz w:val="18"/>
          <w:szCs w:val="18"/>
          <w:lang w:val="en-US"/>
        </w:rPr>
        <w:t xml:space="preserve"> General diagnostic tests for cross-sectional dependence in panels. University of Cambridge, </w:t>
      </w:r>
      <w:r w:rsidR="00295008" w:rsidRPr="00781F4C">
        <w:rPr>
          <w:rFonts w:asciiTheme="majorBidi" w:hAnsiTheme="majorBidi" w:cstheme="majorBidi"/>
          <w:i/>
          <w:iCs/>
          <w:sz w:val="18"/>
          <w:szCs w:val="18"/>
          <w:lang w:val="en-US"/>
        </w:rPr>
        <w:t>Cambri</w:t>
      </w:r>
      <w:r w:rsidRPr="00781F4C">
        <w:rPr>
          <w:rFonts w:asciiTheme="majorBidi" w:hAnsiTheme="majorBidi" w:cstheme="majorBidi"/>
          <w:i/>
          <w:iCs/>
          <w:sz w:val="18"/>
          <w:szCs w:val="18"/>
          <w:lang w:val="en-US"/>
        </w:rPr>
        <w:t>dge Working Papers in Economics</w:t>
      </w:r>
      <w:r w:rsidR="00ED1AEF" w:rsidRPr="00781F4C">
        <w:rPr>
          <w:rFonts w:asciiTheme="majorBidi" w:hAnsiTheme="majorBidi" w:cstheme="majorBidi"/>
          <w:sz w:val="18"/>
          <w:szCs w:val="18"/>
          <w:lang w:val="en-US"/>
        </w:rPr>
        <w:t>,</w:t>
      </w:r>
      <w:r w:rsidR="00295008" w:rsidRPr="00781F4C">
        <w:rPr>
          <w:rFonts w:asciiTheme="majorBidi" w:hAnsiTheme="majorBidi" w:cstheme="majorBidi"/>
          <w:sz w:val="18"/>
          <w:szCs w:val="18"/>
          <w:lang w:val="en-US"/>
        </w:rPr>
        <w:t xml:space="preserve"> 435. https://www.econstor.eu/bitstream/10419/18868/1/cesifo1_wp1229.pdf.</w:t>
      </w:r>
    </w:p>
    <w:p w14:paraId="45B228DF" w14:textId="23790B7A" w:rsidR="00295008" w:rsidRPr="00781F4C" w:rsidRDefault="0044438E" w:rsidP="00B71320">
      <w:pPr>
        <w:spacing w:before="120"/>
        <w:ind w:left="284" w:hanging="284"/>
        <w:jc w:val="both"/>
        <w:rPr>
          <w:rFonts w:asciiTheme="majorBidi" w:hAnsiTheme="majorBidi" w:cstheme="majorBidi"/>
          <w:sz w:val="18"/>
          <w:szCs w:val="18"/>
          <w:lang w:val="en-US"/>
        </w:rPr>
      </w:pPr>
      <w:proofErr w:type="spellStart"/>
      <w:r w:rsidRPr="00781F4C">
        <w:rPr>
          <w:rFonts w:asciiTheme="majorBidi" w:hAnsiTheme="majorBidi" w:cstheme="majorBidi"/>
          <w:sz w:val="18"/>
          <w:szCs w:val="18"/>
          <w:lang w:val="en-US"/>
        </w:rPr>
        <w:t>Pesaran</w:t>
      </w:r>
      <w:proofErr w:type="spellEnd"/>
      <w:r w:rsidRPr="00781F4C">
        <w:rPr>
          <w:rFonts w:asciiTheme="majorBidi" w:hAnsiTheme="majorBidi" w:cstheme="majorBidi"/>
          <w:sz w:val="18"/>
          <w:szCs w:val="18"/>
          <w:lang w:val="en-US"/>
        </w:rPr>
        <w:t xml:space="preserve"> MH</w:t>
      </w:r>
      <w:r w:rsidR="00ED1AEF"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xml:space="preserve"> (2007)</w:t>
      </w:r>
      <w:r w:rsidR="00ED1AEF" w:rsidRPr="00781F4C">
        <w:rPr>
          <w:rFonts w:asciiTheme="majorBidi" w:hAnsiTheme="majorBidi" w:cstheme="majorBidi"/>
          <w:sz w:val="18"/>
          <w:szCs w:val="18"/>
          <w:lang w:val="en-US"/>
        </w:rPr>
        <w:t>.</w:t>
      </w:r>
      <w:r w:rsidR="00295008" w:rsidRPr="00781F4C">
        <w:rPr>
          <w:rFonts w:asciiTheme="majorBidi" w:hAnsiTheme="majorBidi" w:cstheme="majorBidi"/>
          <w:sz w:val="18"/>
          <w:szCs w:val="18"/>
          <w:lang w:val="en-US"/>
        </w:rPr>
        <w:t xml:space="preserve"> A simple panel unit roo</w:t>
      </w:r>
      <w:r w:rsidRPr="00781F4C">
        <w:rPr>
          <w:rFonts w:asciiTheme="majorBidi" w:hAnsiTheme="majorBidi" w:cstheme="majorBidi"/>
          <w:sz w:val="18"/>
          <w:szCs w:val="18"/>
          <w:lang w:val="en-US"/>
        </w:rPr>
        <w:t>t test in the presence of cross</w:t>
      </w:r>
      <w:r w:rsidR="00ED1AEF" w:rsidRPr="00781F4C">
        <w:rPr>
          <w:rFonts w:asciiTheme="majorBidi" w:hAnsiTheme="majorBidi" w:cstheme="majorBidi"/>
          <w:sz w:val="18"/>
          <w:szCs w:val="18"/>
          <w:lang w:val="en-US"/>
        </w:rPr>
        <w:t>-</w:t>
      </w:r>
      <w:r w:rsidR="00295008" w:rsidRPr="00781F4C">
        <w:rPr>
          <w:rFonts w:asciiTheme="majorBidi" w:hAnsiTheme="majorBidi" w:cstheme="majorBidi"/>
          <w:sz w:val="18"/>
          <w:szCs w:val="18"/>
          <w:lang w:val="en-US"/>
        </w:rPr>
        <w:t xml:space="preserve">section dependence. </w:t>
      </w:r>
      <w:r w:rsidR="00295008" w:rsidRPr="00781F4C">
        <w:rPr>
          <w:rFonts w:asciiTheme="majorBidi" w:hAnsiTheme="majorBidi" w:cstheme="majorBidi"/>
          <w:i/>
          <w:iCs/>
          <w:sz w:val="18"/>
          <w:szCs w:val="18"/>
          <w:lang w:val="en-US"/>
        </w:rPr>
        <w:t>J</w:t>
      </w:r>
      <w:r w:rsidRPr="00781F4C">
        <w:rPr>
          <w:rFonts w:asciiTheme="majorBidi" w:hAnsiTheme="majorBidi" w:cstheme="majorBidi"/>
          <w:i/>
          <w:iCs/>
          <w:sz w:val="18"/>
          <w:szCs w:val="18"/>
          <w:lang w:val="en-US"/>
        </w:rPr>
        <w:t>ournal of Applied Econometrics</w:t>
      </w:r>
      <w:r w:rsidR="00F8508B" w:rsidRPr="00781F4C">
        <w:rPr>
          <w:rFonts w:asciiTheme="majorBidi" w:hAnsiTheme="majorBidi" w:cstheme="majorBidi"/>
          <w:i/>
          <w:iCs/>
          <w:sz w:val="18"/>
          <w:szCs w:val="18"/>
          <w:lang w:val="en-US"/>
        </w:rPr>
        <w:t>,</w:t>
      </w:r>
      <w:r w:rsidRPr="00781F4C">
        <w:rPr>
          <w:rFonts w:asciiTheme="majorBidi" w:hAnsiTheme="majorBidi" w:cstheme="majorBidi"/>
          <w:sz w:val="18"/>
          <w:szCs w:val="18"/>
          <w:lang w:val="en-US"/>
        </w:rPr>
        <w:t xml:space="preserve"> </w:t>
      </w:r>
      <w:r w:rsidR="00295008" w:rsidRPr="00781F4C">
        <w:rPr>
          <w:rFonts w:asciiTheme="majorBidi" w:hAnsiTheme="majorBidi" w:cstheme="majorBidi"/>
          <w:sz w:val="18"/>
          <w:szCs w:val="18"/>
          <w:lang w:val="en-US"/>
        </w:rPr>
        <w:t>22(2):</w:t>
      </w:r>
      <w:r w:rsidR="00F8508B" w:rsidRPr="00781F4C">
        <w:rPr>
          <w:rFonts w:asciiTheme="majorBidi" w:hAnsiTheme="majorBidi" w:cstheme="majorBidi"/>
          <w:sz w:val="18"/>
          <w:szCs w:val="18"/>
          <w:lang w:val="en-US"/>
        </w:rPr>
        <w:t xml:space="preserve"> </w:t>
      </w:r>
      <w:r w:rsidR="00295008" w:rsidRPr="00781F4C">
        <w:rPr>
          <w:rFonts w:asciiTheme="majorBidi" w:hAnsiTheme="majorBidi" w:cstheme="majorBidi"/>
          <w:sz w:val="18"/>
          <w:szCs w:val="18"/>
          <w:lang w:val="en-US"/>
        </w:rPr>
        <w:t>265-312. https://doi.org/210.1002/jae.1951.</w:t>
      </w:r>
    </w:p>
    <w:p w14:paraId="3F0F5F45" w14:textId="28E1B08A" w:rsidR="00295008" w:rsidRPr="00781F4C" w:rsidRDefault="00DB7377" w:rsidP="00B71320">
      <w:pPr>
        <w:spacing w:before="120"/>
        <w:ind w:left="284" w:hanging="284"/>
        <w:jc w:val="both"/>
        <w:rPr>
          <w:rFonts w:asciiTheme="majorBidi" w:hAnsiTheme="majorBidi" w:cstheme="majorBidi"/>
          <w:sz w:val="18"/>
          <w:szCs w:val="18"/>
          <w:lang w:val="en-US"/>
        </w:rPr>
      </w:pPr>
      <w:r w:rsidRPr="00781F4C">
        <w:rPr>
          <w:rFonts w:asciiTheme="majorBidi" w:hAnsiTheme="majorBidi" w:cstheme="majorBidi"/>
          <w:sz w:val="18"/>
          <w:szCs w:val="18"/>
          <w:lang w:val="en-US"/>
        </w:rPr>
        <w:t>Royston J</w:t>
      </w:r>
      <w:r w:rsidR="00F8508B" w:rsidRPr="00781F4C">
        <w:rPr>
          <w:rFonts w:asciiTheme="majorBidi" w:hAnsiTheme="majorBidi" w:cstheme="majorBidi"/>
          <w:sz w:val="18"/>
          <w:szCs w:val="18"/>
          <w:lang w:val="en-US"/>
        </w:rPr>
        <w:t xml:space="preserve">. </w:t>
      </w:r>
      <w:r w:rsidRPr="00781F4C">
        <w:rPr>
          <w:rFonts w:asciiTheme="majorBidi" w:hAnsiTheme="majorBidi" w:cstheme="majorBidi"/>
          <w:sz w:val="18"/>
          <w:szCs w:val="18"/>
          <w:lang w:val="en-US"/>
        </w:rPr>
        <w:t>(1983)</w:t>
      </w:r>
      <w:r w:rsidR="00F8508B"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xml:space="preserve"> </w:t>
      </w:r>
      <w:r w:rsidR="00295008" w:rsidRPr="00781F4C">
        <w:rPr>
          <w:rFonts w:asciiTheme="majorBidi" w:hAnsiTheme="majorBidi" w:cstheme="majorBidi"/>
          <w:sz w:val="18"/>
          <w:szCs w:val="18"/>
          <w:lang w:val="en-US"/>
        </w:rPr>
        <w:t>A Simple Method for Evaluating the Shapiro–Francia W′ Te</w:t>
      </w:r>
      <w:r w:rsidRPr="00781F4C">
        <w:rPr>
          <w:rFonts w:asciiTheme="majorBidi" w:hAnsiTheme="majorBidi" w:cstheme="majorBidi"/>
          <w:sz w:val="18"/>
          <w:szCs w:val="18"/>
          <w:lang w:val="en-US"/>
        </w:rPr>
        <w:t>st of Non</w:t>
      </w:r>
      <w:r w:rsidR="00F8508B" w:rsidRPr="00781F4C">
        <w:rPr>
          <w:rFonts w:asciiTheme="majorBidi" w:hAnsiTheme="majorBidi" w:cstheme="majorBidi"/>
          <w:sz w:val="18"/>
          <w:szCs w:val="18"/>
          <w:lang w:val="en-US"/>
        </w:rPr>
        <w:t>n</w:t>
      </w:r>
      <w:r w:rsidR="00295008" w:rsidRPr="00781F4C">
        <w:rPr>
          <w:rFonts w:asciiTheme="majorBidi" w:hAnsiTheme="majorBidi" w:cstheme="majorBidi"/>
          <w:sz w:val="18"/>
          <w:szCs w:val="18"/>
          <w:lang w:val="en-US"/>
        </w:rPr>
        <w:t xml:space="preserve">ormality. </w:t>
      </w:r>
      <w:r w:rsidR="00295008" w:rsidRPr="00781F4C">
        <w:rPr>
          <w:rFonts w:asciiTheme="majorBidi" w:hAnsiTheme="majorBidi" w:cstheme="majorBidi"/>
          <w:i/>
          <w:sz w:val="18"/>
          <w:szCs w:val="18"/>
          <w:lang w:val="en-US"/>
        </w:rPr>
        <w:t>Journal of the Royal Statistical Societ</w:t>
      </w:r>
      <w:r w:rsidRPr="00781F4C">
        <w:rPr>
          <w:rFonts w:asciiTheme="majorBidi" w:hAnsiTheme="majorBidi" w:cstheme="majorBidi"/>
          <w:i/>
          <w:sz w:val="18"/>
          <w:szCs w:val="18"/>
          <w:lang w:val="en-US"/>
        </w:rPr>
        <w:t>y: Series D (The Statistician)</w:t>
      </w:r>
      <w:r w:rsidR="00F8508B" w:rsidRPr="00781F4C">
        <w:rPr>
          <w:rFonts w:asciiTheme="majorBidi" w:hAnsiTheme="majorBidi" w:cstheme="majorBidi"/>
          <w:i/>
          <w:sz w:val="18"/>
          <w:szCs w:val="18"/>
          <w:lang w:val="en-US"/>
        </w:rPr>
        <w:t>,</w:t>
      </w:r>
      <w:r w:rsidRPr="00781F4C">
        <w:rPr>
          <w:rFonts w:asciiTheme="majorBidi" w:hAnsiTheme="majorBidi" w:cstheme="majorBidi"/>
          <w:i/>
          <w:sz w:val="18"/>
          <w:szCs w:val="18"/>
          <w:lang w:val="en-US"/>
        </w:rPr>
        <w:t xml:space="preserve"> </w:t>
      </w:r>
      <w:r w:rsidR="00295008" w:rsidRPr="00781F4C">
        <w:rPr>
          <w:rFonts w:asciiTheme="majorBidi" w:hAnsiTheme="majorBidi" w:cstheme="majorBidi"/>
          <w:i/>
          <w:sz w:val="18"/>
          <w:szCs w:val="18"/>
          <w:lang w:val="en-US"/>
        </w:rPr>
        <w:t>32</w:t>
      </w:r>
      <w:r w:rsidRPr="00781F4C">
        <w:rPr>
          <w:rFonts w:asciiTheme="majorBidi" w:hAnsiTheme="majorBidi" w:cstheme="majorBidi"/>
          <w:sz w:val="18"/>
          <w:szCs w:val="18"/>
          <w:lang w:val="en-US"/>
        </w:rPr>
        <w:t>(3):</w:t>
      </w:r>
      <w:r w:rsidR="00295008" w:rsidRPr="00781F4C">
        <w:rPr>
          <w:rFonts w:asciiTheme="majorBidi" w:hAnsiTheme="majorBidi" w:cstheme="majorBidi"/>
          <w:sz w:val="18"/>
          <w:szCs w:val="18"/>
          <w:lang w:val="en-US"/>
        </w:rPr>
        <w:t xml:space="preserve">297-300. </w:t>
      </w:r>
      <w:hyperlink r:id="rId27" w:history="1">
        <w:r w:rsidR="00295008" w:rsidRPr="00781F4C">
          <w:rPr>
            <w:rStyle w:val="Hyperlink"/>
            <w:rFonts w:asciiTheme="majorBidi" w:hAnsiTheme="majorBidi" w:cstheme="majorBidi"/>
            <w:color w:val="auto"/>
            <w:sz w:val="18"/>
            <w:szCs w:val="18"/>
            <w:u w:val="none"/>
            <w:lang w:val="en-US"/>
          </w:rPr>
          <w:t>https://doi.org/210.2307/2987935</w:t>
        </w:r>
      </w:hyperlink>
      <w:r w:rsidR="00295008" w:rsidRPr="00781F4C">
        <w:rPr>
          <w:rFonts w:asciiTheme="majorBidi" w:hAnsiTheme="majorBidi" w:cstheme="majorBidi"/>
          <w:sz w:val="18"/>
          <w:szCs w:val="18"/>
          <w:lang w:val="en-US"/>
        </w:rPr>
        <w:t>.</w:t>
      </w:r>
    </w:p>
    <w:p w14:paraId="4BC6A3A5" w14:textId="77777777" w:rsidR="00295008" w:rsidRPr="00781F4C" w:rsidRDefault="00295008" w:rsidP="00B71320">
      <w:pPr>
        <w:spacing w:before="120"/>
        <w:ind w:left="284" w:hanging="284"/>
        <w:jc w:val="both"/>
        <w:rPr>
          <w:rFonts w:asciiTheme="majorBidi" w:hAnsiTheme="majorBidi" w:cstheme="majorBidi"/>
          <w:sz w:val="18"/>
          <w:szCs w:val="18"/>
          <w:lang w:val="en-US"/>
        </w:rPr>
      </w:pPr>
      <w:r w:rsidRPr="00781F4C">
        <w:rPr>
          <w:rFonts w:asciiTheme="majorBidi" w:hAnsiTheme="majorBidi" w:cstheme="majorBidi"/>
          <w:sz w:val="18"/>
          <w:szCs w:val="18"/>
          <w:lang w:val="en-US"/>
        </w:rPr>
        <w:t xml:space="preserve">Royston, P. (1992). Approximating the Shapiro-Wilk W-test for non-normality. </w:t>
      </w:r>
      <w:r w:rsidRPr="00781F4C">
        <w:rPr>
          <w:rFonts w:asciiTheme="majorBidi" w:hAnsiTheme="majorBidi" w:cstheme="majorBidi"/>
          <w:i/>
          <w:sz w:val="18"/>
          <w:szCs w:val="18"/>
          <w:lang w:val="en-US"/>
        </w:rPr>
        <w:t>Statistics and computing, 2</w:t>
      </w:r>
      <w:r w:rsidRPr="00781F4C">
        <w:rPr>
          <w:rFonts w:asciiTheme="majorBidi" w:hAnsiTheme="majorBidi" w:cstheme="majorBidi"/>
          <w:sz w:val="18"/>
          <w:szCs w:val="18"/>
          <w:lang w:val="en-US"/>
        </w:rPr>
        <w:t xml:space="preserve">(3), 117-119. </w:t>
      </w:r>
      <w:hyperlink r:id="rId28" w:history="1">
        <w:r w:rsidRPr="00781F4C">
          <w:rPr>
            <w:rStyle w:val="Hyperlink"/>
            <w:rFonts w:asciiTheme="majorBidi" w:hAnsiTheme="majorBidi" w:cstheme="majorBidi"/>
            <w:color w:val="auto"/>
            <w:sz w:val="18"/>
            <w:szCs w:val="18"/>
            <w:u w:val="none"/>
            <w:lang w:val="en-US"/>
          </w:rPr>
          <w:t>https://doi.org/110.1007/BF01891203</w:t>
        </w:r>
      </w:hyperlink>
      <w:r w:rsidRPr="00781F4C">
        <w:rPr>
          <w:rFonts w:asciiTheme="majorBidi" w:hAnsiTheme="majorBidi" w:cstheme="majorBidi"/>
          <w:sz w:val="18"/>
          <w:szCs w:val="18"/>
          <w:lang w:val="en-US"/>
        </w:rPr>
        <w:t>.</w:t>
      </w:r>
    </w:p>
    <w:p w14:paraId="1E80D905" w14:textId="4B805B02" w:rsidR="00295008" w:rsidRPr="00781F4C" w:rsidRDefault="00DB7377" w:rsidP="00B71320">
      <w:pPr>
        <w:spacing w:before="120"/>
        <w:ind w:left="284" w:hanging="284"/>
        <w:jc w:val="both"/>
        <w:rPr>
          <w:rFonts w:asciiTheme="majorBidi" w:hAnsiTheme="majorBidi" w:cstheme="majorBidi"/>
          <w:sz w:val="18"/>
          <w:szCs w:val="18"/>
          <w:lang w:val="en-US"/>
        </w:rPr>
      </w:pPr>
      <w:r w:rsidRPr="00781F4C">
        <w:rPr>
          <w:rFonts w:asciiTheme="majorBidi" w:hAnsiTheme="majorBidi" w:cstheme="majorBidi"/>
          <w:sz w:val="18"/>
          <w:szCs w:val="18"/>
          <w:lang w:val="en-US"/>
        </w:rPr>
        <w:lastRenderedPageBreak/>
        <w:t>Saidi K</w:t>
      </w:r>
      <w:r w:rsidR="00F8508B"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Mbarek MB</w:t>
      </w:r>
      <w:r w:rsidR="00F8508B"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xml:space="preserve"> (2017)</w:t>
      </w:r>
      <w:r w:rsidR="00F8508B" w:rsidRPr="00781F4C">
        <w:rPr>
          <w:rFonts w:asciiTheme="majorBidi" w:hAnsiTheme="majorBidi" w:cstheme="majorBidi"/>
          <w:sz w:val="18"/>
          <w:szCs w:val="18"/>
          <w:lang w:val="en-US"/>
        </w:rPr>
        <w:t>.</w:t>
      </w:r>
      <w:r w:rsidR="00295008" w:rsidRPr="00781F4C">
        <w:rPr>
          <w:rFonts w:asciiTheme="majorBidi" w:hAnsiTheme="majorBidi" w:cstheme="majorBidi"/>
          <w:sz w:val="18"/>
          <w:szCs w:val="18"/>
          <w:lang w:val="en-US"/>
        </w:rPr>
        <w:t xml:space="preserve"> The impact of income, trade, urbanization, </w:t>
      </w:r>
      <w:r w:rsidRPr="00781F4C">
        <w:rPr>
          <w:rFonts w:asciiTheme="majorBidi" w:hAnsiTheme="majorBidi" w:cstheme="majorBidi"/>
          <w:sz w:val="18"/>
          <w:szCs w:val="18"/>
          <w:lang w:val="en-US"/>
        </w:rPr>
        <w:t>and financial development on CO</w:t>
      </w:r>
      <w:r w:rsidR="00295008" w:rsidRPr="00781F4C">
        <w:rPr>
          <w:rFonts w:asciiTheme="majorBidi" w:hAnsiTheme="majorBidi" w:cstheme="majorBidi"/>
          <w:sz w:val="18"/>
          <w:szCs w:val="18"/>
          <w:lang w:val="en-US"/>
        </w:rPr>
        <w:t xml:space="preserve">2 emissions in 19 emerging economies. </w:t>
      </w:r>
      <w:r w:rsidR="00295008" w:rsidRPr="00781F4C">
        <w:rPr>
          <w:rFonts w:asciiTheme="majorBidi" w:hAnsiTheme="majorBidi" w:cstheme="majorBidi"/>
          <w:i/>
          <w:iCs/>
          <w:sz w:val="18"/>
          <w:szCs w:val="18"/>
          <w:lang w:val="en-US"/>
        </w:rPr>
        <w:t>Environmental</w:t>
      </w:r>
      <w:r w:rsidRPr="00781F4C">
        <w:rPr>
          <w:rFonts w:asciiTheme="majorBidi" w:hAnsiTheme="majorBidi" w:cstheme="majorBidi"/>
          <w:i/>
          <w:iCs/>
          <w:sz w:val="18"/>
          <w:szCs w:val="18"/>
          <w:lang w:val="en-US"/>
        </w:rPr>
        <w:t xml:space="preserve"> Science and Pollution Research</w:t>
      </w:r>
      <w:r w:rsidR="00F8508B"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xml:space="preserve"> 24(14):</w:t>
      </w:r>
      <w:r w:rsidR="00295008" w:rsidRPr="00781F4C">
        <w:rPr>
          <w:rFonts w:asciiTheme="majorBidi" w:hAnsiTheme="majorBidi" w:cstheme="majorBidi"/>
          <w:sz w:val="18"/>
          <w:szCs w:val="18"/>
          <w:lang w:val="en-US"/>
        </w:rPr>
        <w:t>12748-12757. https://doi.org/12710.11007/s11356-12016-16303-12743.</w:t>
      </w:r>
    </w:p>
    <w:p w14:paraId="6A240321" w14:textId="1438A9F6" w:rsidR="00295008" w:rsidRPr="00781F4C" w:rsidRDefault="00DB7377" w:rsidP="00B71320">
      <w:pPr>
        <w:spacing w:before="120"/>
        <w:ind w:left="284" w:hanging="284"/>
        <w:jc w:val="both"/>
        <w:rPr>
          <w:rFonts w:asciiTheme="majorBidi" w:hAnsiTheme="majorBidi" w:cstheme="majorBidi"/>
          <w:sz w:val="18"/>
          <w:szCs w:val="18"/>
          <w:lang w:val="en-US"/>
        </w:rPr>
      </w:pPr>
      <w:r w:rsidRPr="00781F4C">
        <w:rPr>
          <w:rFonts w:asciiTheme="majorBidi" w:hAnsiTheme="majorBidi" w:cstheme="majorBidi"/>
          <w:sz w:val="18"/>
          <w:szCs w:val="18"/>
          <w:lang w:val="en-US"/>
        </w:rPr>
        <w:t>Saud S</w:t>
      </w:r>
      <w:r w:rsidR="00F8508B"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Chen S</w:t>
      </w:r>
      <w:r w:rsidR="00F8508B"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Haseeb A</w:t>
      </w:r>
      <w:r w:rsidR="00F8508B"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xml:space="preserve"> (2019)</w:t>
      </w:r>
      <w:r w:rsidR="00F8508B" w:rsidRPr="00781F4C">
        <w:rPr>
          <w:rFonts w:asciiTheme="majorBidi" w:hAnsiTheme="majorBidi" w:cstheme="majorBidi"/>
          <w:sz w:val="18"/>
          <w:szCs w:val="18"/>
          <w:lang w:val="en-US"/>
        </w:rPr>
        <w:t>.</w:t>
      </w:r>
      <w:r w:rsidR="00295008" w:rsidRPr="00781F4C">
        <w:rPr>
          <w:rFonts w:asciiTheme="majorBidi" w:hAnsiTheme="majorBidi" w:cstheme="majorBidi"/>
          <w:sz w:val="18"/>
          <w:szCs w:val="18"/>
          <w:lang w:val="en-US"/>
        </w:rPr>
        <w:t xml:space="preserve"> Impact of financial development and economic growth on environmental quality: an empirical analysis from Belt and Road Initiative (BRI) countries. </w:t>
      </w:r>
      <w:r w:rsidR="00295008" w:rsidRPr="00781F4C">
        <w:rPr>
          <w:rFonts w:asciiTheme="majorBidi" w:hAnsiTheme="majorBidi" w:cstheme="majorBidi"/>
          <w:i/>
          <w:iCs/>
          <w:sz w:val="18"/>
          <w:szCs w:val="18"/>
          <w:lang w:val="en-US"/>
        </w:rPr>
        <w:t>Environmental</w:t>
      </w:r>
      <w:r w:rsidRPr="00781F4C">
        <w:rPr>
          <w:rFonts w:asciiTheme="majorBidi" w:hAnsiTheme="majorBidi" w:cstheme="majorBidi"/>
          <w:i/>
          <w:iCs/>
          <w:sz w:val="18"/>
          <w:szCs w:val="18"/>
          <w:lang w:val="en-US"/>
        </w:rPr>
        <w:t xml:space="preserve"> Science and Pollution Research</w:t>
      </w:r>
      <w:r w:rsidR="00F8508B" w:rsidRPr="00781F4C">
        <w:rPr>
          <w:rFonts w:asciiTheme="majorBidi" w:hAnsiTheme="majorBidi" w:cstheme="majorBidi"/>
          <w:i/>
          <w:iCs/>
          <w:sz w:val="18"/>
          <w:szCs w:val="18"/>
          <w:lang w:val="en-US"/>
        </w:rPr>
        <w:t>,</w:t>
      </w:r>
      <w:r w:rsidRPr="00781F4C">
        <w:rPr>
          <w:rFonts w:asciiTheme="majorBidi" w:hAnsiTheme="majorBidi" w:cstheme="majorBidi"/>
          <w:sz w:val="18"/>
          <w:szCs w:val="18"/>
          <w:lang w:val="en-US"/>
        </w:rPr>
        <w:t xml:space="preserve"> 26(3):</w:t>
      </w:r>
      <w:r w:rsidR="00295008" w:rsidRPr="00781F4C">
        <w:rPr>
          <w:rFonts w:asciiTheme="majorBidi" w:hAnsiTheme="majorBidi" w:cstheme="majorBidi"/>
          <w:sz w:val="18"/>
          <w:szCs w:val="18"/>
          <w:lang w:val="en-US"/>
        </w:rPr>
        <w:t>2253-2269. https://doi.org/2210.1007/s11356-11018-13688-11351.</w:t>
      </w:r>
    </w:p>
    <w:p w14:paraId="0298F809" w14:textId="466E62F5" w:rsidR="00295008" w:rsidRPr="00781F4C" w:rsidRDefault="00DB7377" w:rsidP="00B71320">
      <w:pPr>
        <w:spacing w:before="120"/>
        <w:ind w:left="284" w:hanging="284"/>
        <w:jc w:val="both"/>
        <w:rPr>
          <w:rFonts w:asciiTheme="majorBidi" w:hAnsiTheme="majorBidi" w:cstheme="majorBidi"/>
          <w:sz w:val="18"/>
          <w:szCs w:val="18"/>
          <w:lang w:val="en-US"/>
        </w:rPr>
      </w:pPr>
      <w:proofErr w:type="spellStart"/>
      <w:r w:rsidRPr="00781F4C">
        <w:rPr>
          <w:rFonts w:asciiTheme="majorBidi" w:hAnsiTheme="majorBidi" w:cstheme="majorBidi"/>
          <w:sz w:val="18"/>
          <w:szCs w:val="18"/>
          <w:lang w:val="en-US"/>
        </w:rPr>
        <w:t>Sbia</w:t>
      </w:r>
      <w:proofErr w:type="spellEnd"/>
      <w:r w:rsidRPr="00781F4C">
        <w:rPr>
          <w:rFonts w:asciiTheme="majorBidi" w:hAnsiTheme="majorBidi" w:cstheme="majorBidi"/>
          <w:sz w:val="18"/>
          <w:szCs w:val="18"/>
          <w:lang w:val="en-US"/>
        </w:rPr>
        <w:t xml:space="preserve"> R</w:t>
      </w:r>
      <w:r w:rsidR="00F8508B"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Shahbaz M</w:t>
      </w:r>
      <w:r w:rsidR="00F8508B"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Hamdi H</w:t>
      </w:r>
      <w:r w:rsidR="00F8508B"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xml:space="preserve"> (2014)</w:t>
      </w:r>
      <w:r w:rsidR="00F8508B" w:rsidRPr="00781F4C">
        <w:rPr>
          <w:rFonts w:asciiTheme="majorBidi" w:hAnsiTheme="majorBidi" w:cstheme="majorBidi"/>
          <w:sz w:val="18"/>
          <w:szCs w:val="18"/>
          <w:lang w:val="en-US"/>
        </w:rPr>
        <w:t xml:space="preserve">. </w:t>
      </w:r>
      <w:r w:rsidR="00295008" w:rsidRPr="00781F4C">
        <w:rPr>
          <w:rFonts w:asciiTheme="majorBidi" w:hAnsiTheme="majorBidi" w:cstheme="majorBidi"/>
          <w:sz w:val="18"/>
          <w:szCs w:val="18"/>
          <w:lang w:val="en-US"/>
        </w:rPr>
        <w:t>A contribution of foreign direct investment, clean energy, trade openness, carbon emissions and economic growth to energy de</w:t>
      </w:r>
      <w:r w:rsidRPr="00781F4C">
        <w:rPr>
          <w:rFonts w:asciiTheme="majorBidi" w:hAnsiTheme="majorBidi" w:cstheme="majorBidi"/>
          <w:sz w:val="18"/>
          <w:szCs w:val="18"/>
          <w:lang w:val="en-US"/>
        </w:rPr>
        <w:t xml:space="preserve">mand in UAE. </w:t>
      </w:r>
      <w:r w:rsidRPr="00781F4C">
        <w:rPr>
          <w:rFonts w:asciiTheme="majorBidi" w:hAnsiTheme="majorBidi" w:cstheme="majorBidi"/>
          <w:i/>
          <w:iCs/>
          <w:sz w:val="18"/>
          <w:szCs w:val="18"/>
          <w:lang w:val="en-US"/>
        </w:rPr>
        <w:t>Economic Modelling</w:t>
      </w:r>
      <w:r w:rsidR="00F8508B"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xml:space="preserve"> 36:</w:t>
      </w:r>
      <w:r w:rsidR="00295008" w:rsidRPr="00781F4C">
        <w:rPr>
          <w:rFonts w:asciiTheme="majorBidi" w:hAnsiTheme="majorBidi" w:cstheme="majorBidi"/>
          <w:sz w:val="18"/>
          <w:szCs w:val="18"/>
          <w:lang w:val="en-US"/>
        </w:rPr>
        <w:t>191-197. https://doi.org/110.1016/j.econmod.2013.1009.1047.</w:t>
      </w:r>
    </w:p>
    <w:p w14:paraId="57DF44A5" w14:textId="53FF9ABD" w:rsidR="00A46199" w:rsidRPr="00781F4C" w:rsidRDefault="006D1FF5" w:rsidP="00B71320">
      <w:pPr>
        <w:spacing w:before="120"/>
        <w:ind w:left="284" w:hanging="284"/>
        <w:jc w:val="both"/>
        <w:rPr>
          <w:rFonts w:asciiTheme="majorBidi" w:hAnsiTheme="majorBidi" w:cstheme="majorBidi"/>
          <w:sz w:val="18"/>
          <w:szCs w:val="18"/>
          <w:lang w:val="en-US"/>
        </w:rPr>
      </w:pPr>
      <w:r w:rsidRPr="00781F4C">
        <w:rPr>
          <w:rFonts w:asciiTheme="majorBidi" w:hAnsiTheme="majorBidi" w:cstheme="majorBidi"/>
          <w:sz w:val="18"/>
          <w:szCs w:val="18"/>
          <w:lang w:val="en-US"/>
        </w:rPr>
        <w:t>Shahbaz, M.</w:t>
      </w:r>
      <w:r w:rsidR="005446D6"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xml:space="preserve"> Mahali, M.K.</w:t>
      </w:r>
      <w:r w:rsidR="005446D6"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xml:space="preserve"> Shah, S.H.</w:t>
      </w:r>
      <w:r w:rsidR="005446D6"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xml:space="preserve"> Sato, J.R. (2016). Time-varying analysis of CO2 emissions, energy consumption, and economic growth Nexus: statistical experience in next 11 countries. </w:t>
      </w:r>
      <w:r w:rsidRPr="00781F4C">
        <w:rPr>
          <w:rFonts w:asciiTheme="majorBidi" w:hAnsiTheme="majorBidi" w:cstheme="majorBidi"/>
          <w:i/>
          <w:iCs/>
          <w:sz w:val="18"/>
          <w:szCs w:val="18"/>
          <w:lang w:val="en-US"/>
        </w:rPr>
        <w:t>Energy Policy</w:t>
      </w:r>
      <w:r w:rsidR="00F8508B"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xml:space="preserve"> 98</w:t>
      </w:r>
      <w:r w:rsidR="00F8508B"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xml:space="preserve"> 33-48. </w:t>
      </w:r>
      <w:hyperlink r:id="rId29" w:history="1">
        <w:r w:rsidRPr="00781F4C">
          <w:rPr>
            <w:rFonts w:asciiTheme="majorBidi" w:hAnsiTheme="majorBidi" w:cstheme="majorBidi"/>
            <w:sz w:val="18"/>
            <w:szCs w:val="18"/>
            <w:lang w:val="en-US"/>
          </w:rPr>
          <w:t>https://doi.org/10.1016/j.enpol.2016.08.011</w:t>
        </w:r>
      </w:hyperlink>
      <w:r w:rsidRPr="00781F4C">
        <w:rPr>
          <w:rFonts w:asciiTheme="majorBidi" w:hAnsiTheme="majorBidi" w:cstheme="majorBidi"/>
          <w:sz w:val="18"/>
          <w:szCs w:val="18"/>
          <w:lang w:val="en-US"/>
        </w:rPr>
        <w:t>.</w:t>
      </w:r>
    </w:p>
    <w:p w14:paraId="63F27A2C" w14:textId="452C09B3" w:rsidR="00A46199" w:rsidRPr="00781F4C" w:rsidRDefault="00DB7377" w:rsidP="00B71320">
      <w:pPr>
        <w:spacing w:before="120"/>
        <w:ind w:left="284" w:hanging="284"/>
        <w:jc w:val="both"/>
        <w:rPr>
          <w:rFonts w:asciiTheme="majorBidi" w:hAnsiTheme="majorBidi" w:cstheme="majorBidi"/>
          <w:sz w:val="18"/>
          <w:szCs w:val="18"/>
          <w:lang w:val="en-US" w:eastAsia="en-US"/>
        </w:rPr>
      </w:pPr>
      <w:r w:rsidRPr="00781F4C">
        <w:rPr>
          <w:rFonts w:asciiTheme="majorBidi" w:hAnsiTheme="majorBidi" w:cstheme="majorBidi"/>
          <w:sz w:val="18"/>
          <w:szCs w:val="18"/>
          <w:lang w:val="en-US"/>
        </w:rPr>
        <w:t>Shahbaz M</w:t>
      </w:r>
      <w:r w:rsidR="00F8508B"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Shafiullah M</w:t>
      </w:r>
      <w:r w:rsidR="00F8508B"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Mahalik MK</w:t>
      </w:r>
      <w:r w:rsidR="00F8508B"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xml:space="preserve"> (2019)</w:t>
      </w:r>
      <w:r w:rsidR="00F8508B" w:rsidRPr="00781F4C">
        <w:rPr>
          <w:rFonts w:asciiTheme="majorBidi" w:hAnsiTheme="majorBidi" w:cstheme="majorBidi"/>
          <w:sz w:val="18"/>
          <w:szCs w:val="18"/>
          <w:lang w:val="en-US"/>
        </w:rPr>
        <w:t>.</w:t>
      </w:r>
      <w:r w:rsidR="006D1FF5" w:rsidRPr="00781F4C">
        <w:rPr>
          <w:rFonts w:asciiTheme="majorBidi" w:hAnsiTheme="majorBidi" w:cstheme="majorBidi"/>
          <w:sz w:val="18"/>
          <w:szCs w:val="18"/>
          <w:lang w:val="en-US"/>
        </w:rPr>
        <w:t xml:space="preserve"> The dynamics of financial development, </w:t>
      </w:r>
      <w:proofErr w:type="spellStart"/>
      <w:r w:rsidR="006D1FF5" w:rsidRPr="00781F4C">
        <w:rPr>
          <w:rFonts w:asciiTheme="majorBidi" w:hAnsiTheme="majorBidi" w:cstheme="majorBidi"/>
          <w:sz w:val="18"/>
          <w:szCs w:val="18"/>
          <w:lang w:val="en-US"/>
        </w:rPr>
        <w:t>globalisation</w:t>
      </w:r>
      <w:proofErr w:type="spellEnd"/>
      <w:r w:rsidR="006D1FF5" w:rsidRPr="00781F4C">
        <w:rPr>
          <w:rFonts w:asciiTheme="majorBidi" w:hAnsiTheme="majorBidi" w:cstheme="majorBidi"/>
          <w:sz w:val="18"/>
          <w:szCs w:val="18"/>
          <w:lang w:val="en-US"/>
        </w:rPr>
        <w:t xml:space="preserve">, economic growth, and life expectancy in sub-Saharan Africa. Aust. </w:t>
      </w:r>
      <w:r w:rsidR="006D1FF5" w:rsidRPr="00781F4C">
        <w:rPr>
          <w:rFonts w:asciiTheme="majorBidi" w:hAnsiTheme="majorBidi" w:cstheme="majorBidi"/>
          <w:i/>
          <w:iCs/>
          <w:sz w:val="18"/>
          <w:szCs w:val="18"/>
          <w:lang w:val="en-US"/>
        </w:rPr>
        <w:t>Econ</w:t>
      </w:r>
      <w:r w:rsidR="00F8508B" w:rsidRPr="00781F4C">
        <w:rPr>
          <w:rFonts w:asciiTheme="majorBidi" w:hAnsiTheme="majorBidi" w:cstheme="majorBidi"/>
          <w:i/>
          <w:iCs/>
          <w:sz w:val="18"/>
          <w:szCs w:val="18"/>
          <w:lang w:val="en-US"/>
        </w:rPr>
        <w:t xml:space="preserve">, </w:t>
      </w:r>
      <w:r w:rsidRPr="00781F4C">
        <w:rPr>
          <w:rFonts w:asciiTheme="majorBidi" w:hAnsiTheme="majorBidi" w:cstheme="majorBidi"/>
          <w:sz w:val="18"/>
          <w:szCs w:val="18"/>
          <w:lang w:val="en-US"/>
        </w:rPr>
        <w:t>58 (4):</w:t>
      </w:r>
      <w:r w:rsidR="00F8508B" w:rsidRPr="00781F4C">
        <w:rPr>
          <w:rFonts w:asciiTheme="majorBidi" w:hAnsiTheme="majorBidi" w:cstheme="majorBidi"/>
          <w:sz w:val="18"/>
          <w:szCs w:val="18"/>
          <w:lang w:val="en-US"/>
        </w:rPr>
        <w:t xml:space="preserve"> </w:t>
      </w:r>
      <w:r w:rsidR="006D1FF5" w:rsidRPr="00781F4C">
        <w:rPr>
          <w:rFonts w:asciiTheme="majorBidi" w:hAnsiTheme="majorBidi" w:cstheme="majorBidi"/>
          <w:sz w:val="18"/>
          <w:szCs w:val="18"/>
          <w:lang w:val="en-US"/>
        </w:rPr>
        <w:t xml:space="preserve">444–479. </w:t>
      </w:r>
      <w:hyperlink r:id="rId30" w:history="1">
        <w:r w:rsidR="006D1FF5" w:rsidRPr="00781F4C">
          <w:rPr>
            <w:rFonts w:asciiTheme="majorBidi" w:hAnsiTheme="majorBidi" w:cstheme="majorBidi"/>
            <w:sz w:val="18"/>
            <w:szCs w:val="18"/>
            <w:lang w:val="en-US" w:eastAsia="en-US"/>
          </w:rPr>
          <w:t>https://doi.org/10.1111/1467-8454.12163</w:t>
        </w:r>
      </w:hyperlink>
      <w:r w:rsidR="006D1FF5" w:rsidRPr="00781F4C">
        <w:rPr>
          <w:rFonts w:asciiTheme="majorBidi" w:hAnsiTheme="majorBidi" w:cstheme="majorBidi"/>
          <w:sz w:val="18"/>
          <w:szCs w:val="18"/>
          <w:lang w:val="en-US" w:eastAsia="en-US"/>
        </w:rPr>
        <w:t>.</w:t>
      </w:r>
    </w:p>
    <w:p w14:paraId="5E780A20" w14:textId="5B9D2907" w:rsidR="00295008" w:rsidRPr="00781F4C" w:rsidRDefault="00DB7377" w:rsidP="00B71320">
      <w:pPr>
        <w:spacing w:before="120"/>
        <w:ind w:left="284" w:hanging="284"/>
        <w:jc w:val="both"/>
        <w:rPr>
          <w:rFonts w:asciiTheme="majorBidi" w:hAnsiTheme="majorBidi" w:cstheme="majorBidi"/>
          <w:sz w:val="18"/>
          <w:szCs w:val="18"/>
          <w:lang w:val="en-US"/>
        </w:rPr>
      </w:pPr>
      <w:r w:rsidRPr="00781F4C">
        <w:rPr>
          <w:rFonts w:asciiTheme="majorBidi" w:hAnsiTheme="majorBidi" w:cstheme="majorBidi"/>
          <w:sz w:val="18"/>
          <w:szCs w:val="18"/>
          <w:lang w:val="en-US"/>
        </w:rPr>
        <w:t>Sharma SS</w:t>
      </w:r>
      <w:r w:rsidR="00F8508B"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xml:space="preserve"> (2011)</w:t>
      </w:r>
      <w:r w:rsidR="00F8508B" w:rsidRPr="00781F4C">
        <w:rPr>
          <w:rFonts w:asciiTheme="majorBidi" w:hAnsiTheme="majorBidi" w:cstheme="majorBidi"/>
          <w:sz w:val="18"/>
          <w:szCs w:val="18"/>
          <w:lang w:val="en-US"/>
        </w:rPr>
        <w:t>.</w:t>
      </w:r>
      <w:r w:rsidR="00295008" w:rsidRPr="00781F4C">
        <w:rPr>
          <w:rFonts w:asciiTheme="majorBidi" w:hAnsiTheme="majorBidi" w:cstheme="majorBidi"/>
          <w:sz w:val="18"/>
          <w:szCs w:val="18"/>
          <w:lang w:val="en-US"/>
        </w:rPr>
        <w:t xml:space="preserve"> Determinants of carbon dioxide emissions: empirical evidence from 69 co</w:t>
      </w:r>
      <w:r w:rsidRPr="00781F4C">
        <w:rPr>
          <w:rFonts w:asciiTheme="majorBidi" w:hAnsiTheme="majorBidi" w:cstheme="majorBidi"/>
          <w:sz w:val="18"/>
          <w:szCs w:val="18"/>
          <w:lang w:val="en-US"/>
        </w:rPr>
        <w:t xml:space="preserve">untries. </w:t>
      </w:r>
      <w:r w:rsidRPr="00781F4C">
        <w:rPr>
          <w:rFonts w:asciiTheme="majorBidi" w:hAnsiTheme="majorBidi" w:cstheme="majorBidi"/>
          <w:i/>
          <w:iCs/>
          <w:sz w:val="18"/>
          <w:szCs w:val="18"/>
          <w:lang w:val="en-US"/>
        </w:rPr>
        <w:t>Applied energy</w:t>
      </w:r>
      <w:r w:rsidR="00F8508B" w:rsidRPr="00781F4C">
        <w:rPr>
          <w:rFonts w:asciiTheme="majorBidi" w:hAnsiTheme="majorBidi" w:cstheme="majorBidi"/>
          <w:i/>
          <w:iCs/>
          <w:sz w:val="18"/>
          <w:szCs w:val="18"/>
          <w:lang w:val="en-US"/>
        </w:rPr>
        <w:t>,</w:t>
      </w:r>
      <w:r w:rsidRPr="00781F4C">
        <w:rPr>
          <w:rFonts w:asciiTheme="majorBidi" w:hAnsiTheme="majorBidi" w:cstheme="majorBidi"/>
          <w:sz w:val="18"/>
          <w:szCs w:val="18"/>
          <w:lang w:val="en-US"/>
        </w:rPr>
        <w:t xml:space="preserve"> 88(1):</w:t>
      </w:r>
      <w:r w:rsidR="00F8508B" w:rsidRPr="00781F4C">
        <w:rPr>
          <w:rFonts w:asciiTheme="majorBidi" w:hAnsiTheme="majorBidi" w:cstheme="majorBidi"/>
          <w:sz w:val="18"/>
          <w:szCs w:val="18"/>
          <w:lang w:val="en-US"/>
        </w:rPr>
        <w:t xml:space="preserve"> </w:t>
      </w:r>
      <w:r w:rsidR="00295008" w:rsidRPr="00781F4C">
        <w:rPr>
          <w:rFonts w:asciiTheme="majorBidi" w:hAnsiTheme="majorBidi" w:cstheme="majorBidi"/>
          <w:sz w:val="18"/>
          <w:szCs w:val="18"/>
          <w:lang w:val="en-US"/>
        </w:rPr>
        <w:t>376-382</w:t>
      </w:r>
      <w:r w:rsidR="00295008" w:rsidRPr="00CF6621">
        <w:rPr>
          <w:rFonts w:asciiTheme="majorBidi" w:hAnsiTheme="majorBidi" w:cstheme="majorBidi"/>
          <w:color w:val="000000" w:themeColor="text1"/>
          <w:sz w:val="18"/>
          <w:szCs w:val="18"/>
          <w:lang w:val="en-US"/>
        </w:rPr>
        <w:t xml:space="preserve">. </w:t>
      </w:r>
      <w:hyperlink r:id="rId31" w:history="1">
        <w:r w:rsidR="00D93B06" w:rsidRPr="00CF6621">
          <w:rPr>
            <w:rStyle w:val="Hyperlink"/>
            <w:rFonts w:asciiTheme="majorBidi" w:hAnsiTheme="majorBidi" w:cstheme="majorBidi"/>
            <w:color w:val="000000" w:themeColor="text1"/>
            <w:sz w:val="18"/>
            <w:szCs w:val="18"/>
            <w:u w:val="none"/>
            <w:lang w:val="en-US"/>
          </w:rPr>
          <w:t>https://doi.org/310.1016/j.apenergy.2010.1007.1022</w:t>
        </w:r>
      </w:hyperlink>
      <w:r w:rsidR="00295008" w:rsidRPr="00781F4C">
        <w:rPr>
          <w:rFonts w:asciiTheme="majorBidi" w:hAnsiTheme="majorBidi" w:cstheme="majorBidi"/>
          <w:sz w:val="18"/>
          <w:szCs w:val="18"/>
          <w:lang w:val="en-US"/>
        </w:rPr>
        <w:t>.</w:t>
      </w:r>
    </w:p>
    <w:p w14:paraId="4175492B" w14:textId="1E4EA26C" w:rsidR="00174704" w:rsidRPr="00781F4C" w:rsidRDefault="00DB7377" w:rsidP="00B71320">
      <w:pPr>
        <w:spacing w:before="120"/>
        <w:ind w:left="284" w:hanging="284"/>
        <w:jc w:val="both"/>
        <w:rPr>
          <w:rFonts w:asciiTheme="majorBidi" w:hAnsiTheme="majorBidi" w:cstheme="majorBidi"/>
          <w:sz w:val="18"/>
          <w:szCs w:val="18"/>
          <w:lang w:val="en-US"/>
        </w:rPr>
      </w:pPr>
      <w:r w:rsidRPr="00781F4C">
        <w:rPr>
          <w:rFonts w:asciiTheme="majorBidi" w:hAnsiTheme="majorBidi" w:cstheme="majorBidi"/>
          <w:sz w:val="18"/>
          <w:szCs w:val="18"/>
          <w:lang w:val="en-US"/>
        </w:rPr>
        <w:t>Sobotka T</w:t>
      </w:r>
      <w:r w:rsidR="00F8508B"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xml:space="preserve">, </w:t>
      </w:r>
      <w:proofErr w:type="spellStart"/>
      <w:r w:rsidRPr="00781F4C">
        <w:rPr>
          <w:rFonts w:asciiTheme="majorBidi" w:hAnsiTheme="majorBidi" w:cstheme="majorBidi"/>
          <w:sz w:val="18"/>
          <w:szCs w:val="18"/>
          <w:lang w:val="en-US"/>
        </w:rPr>
        <w:t>Fürnkranz-Prskawetz</w:t>
      </w:r>
      <w:proofErr w:type="spellEnd"/>
      <w:r w:rsidRPr="00781F4C">
        <w:rPr>
          <w:rFonts w:asciiTheme="majorBidi" w:hAnsiTheme="majorBidi" w:cstheme="majorBidi"/>
          <w:sz w:val="18"/>
          <w:szCs w:val="18"/>
          <w:lang w:val="en-US"/>
        </w:rPr>
        <w:t xml:space="preserve"> A</w:t>
      </w:r>
      <w:r w:rsidR="00F8508B"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xml:space="preserve"> (2020)</w:t>
      </w:r>
      <w:r w:rsidR="00F8508B" w:rsidRPr="00781F4C">
        <w:rPr>
          <w:rFonts w:asciiTheme="majorBidi" w:hAnsiTheme="majorBidi" w:cstheme="majorBidi"/>
          <w:sz w:val="18"/>
          <w:szCs w:val="18"/>
          <w:lang w:val="en-US"/>
        </w:rPr>
        <w:t>.</w:t>
      </w:r>
      <w:r w:rsidR="00D93B06" w:rsidRPr="00781F4C">
        <w:rPr>
          <w:rFonts w:asciiTheme="majorBidi" w:hAnsiTheme="majorBidi" w:cstheme="majorBidi"/>
          <w:sz w:val="18"/>
          <w:szCs w:val="18"/>
          <w:lang w:val="en-US"/>
        </w:rPr>
        <w:t xml:space="preserve"> Demographic change in Central, Eastern and Southeastern Europe: trends, determinants and challenges. In 30 Years of Transition in Europe. Edward Elgar Publishing</w:t>
      </w:r>
      <w:r w:rsidR="006F4550" w:rsidRPr="00781F4C">
        <w:rPr>
          <w:rFonts w:asciiTheme="majorBidi" w:hAnsiTheme="majorBidi" w:cstheme="majorBidi"/>
          <w:sz w:val="18"/>
          <w:szCs w:val="18"/>
          <w:lang w:val="en-US"/>
        </w:rPr>
        <w:t>.</w:t>
      </w:r>
    </w:p>
    <w:p w14:paraId="1C6A54E6" w14:textId="18875CA9" w:rsidR="003E5B6D" w:rsidRPr="00781F4C" w:rsidRDefault="00DB7377" w:rsidP="00B71320">
      <w:pPr>
        <w:spacing w:before="120"/>
        <w:ind w:left="284" w:hanging="284"/>
        <w:jc w:val="both"/>
        <w:rPr>
          <w:rFonts w:asciiTheme="majorBidi" w:hAnsiTheme="majorBidi" w:cstheme="majorBidi"/>
          <w:sz w:val="18"/>
          <w:szCs w:val="18"/>
        </w:rPr>
      </w:pPr>
      <w:r w:rsidRPr="00781F4C">
        <w:rPr>
          <w:rFonts w:asciiTheme="majorBidi" w:hAnsiTheme="majorBidi" w:cstheme="majorBidi"/>
          <w:sz w:val="18"/>
          <w:szCs w:val="18"/>
        </w:rPr>
        <w:t>Toth G</w:t>
      </w:r>
      <w:r w:rsidR="00F8508B" w:rsidRPr="00781F4C">
        <w:rPr>
          <w:rFonts w:asciiTheme="majorBidi" w:hAnsiTheme="majorBidi" w:cstheme="majorBidi"/>
          <w:sz w:val="18"/>
          <w:szCs w:val="18"/>
        </w:rPr>
        <w:t>.</w:t>
      </w:r>
      <w:r w:rsidRPr="00781F4C">
        <w:rPr>
          <w:rFonts w:asciiTheme="majorBidi" w:hAnsiTheme="majorBidi" w:cstheme="majorBidi"/>
          <w:sz w:val="18"/>
          <w:szCs w:val="18"/>
        </w:rPr>
        <w:t>, Szigeti C</w:t>
      </w:r>
      <w:r w:rsidR="00F8508B" w:rsidRPr="00781F4C">
        <w:rPr>
          <w:rFonts w:asciiTheme="majorBidi" w:hAnsiTheme="majorBidi" w:cstheme="majorBidi"/>
          <w:sz w:val="18"/>
          <w:szCs w:val="18"/>
        </w:rPr>
        <w:t>.</w:t>
      </w:r>
      <w:r w:rsidRPr="00781F4C">
        <w:rPr>
          <w:rFonts w:asciiTheme="majorBidi" w:hAnsiTheme="majorBidi" w:cstheme="majorBidi"/>
          <w:sz w:val="18"/>
          <w:szCs w:val="18"/>
        </w:rPr>
        <w:t xml:space="preserve"> (2016)</w:t>
      </w:r>
      <w:r w:rsidR="00F8508B" w:rsidRPr="00781F4C">
        <w:rPr>
          <w:rFonts w:asciiTheme="majorBidi" w:hAnsiTheme="majorBidi" w:cstheme="majorBidi"/>
          <w:sz w:val="18"/>
          <w:szCs w:val="18"/>
        </w:rPr>
        <w:t>.</w:t>
      </w:r>
      <w:r w:rsidRPr="00781F4C">
        <w:rPr>
          <w:rFonts w:asciiTheme="majorBidi" w:hAnsiTheme="majorBidi" w:cstheme="majorBidi"/>
          <w:sz w:val="18"/>
          <w:szCs w:val="18"/>
        </w:rPr>
        <w:t xml:space="preserve"> </w:t>
      </w:r>
      <w:r w:rsidR="003E5B6D" w:rsidRPr="00781F4C">
        <w:rPr>
          <w:rFonts w:asciiTheme="majorBidi" w:hAnsiTheme="majorBidi" w:cstheme="majorBidi"/>
          <w:sz w:val="18"/>
          <w:szCs w:val="18"/>
        </w:rPr>
        <w:t>The historical ecological footprint: From over-population to over-con</w:t>
      </w:r>
      <w:r w:rsidRPr="00781F4C">
        <w:rPr>
          <w:rFonts w:asciiTheme="majorBidi" w:hAnsiTheme="majorBidi" w:cstheme="majorBidi"/>
          <w:sz w:val="18"/>
          <w:szCs w:val="18"/>
        </w:rPr>
        <w:t xml:space="preserve">sumption. </w:t>
      </w:r>
      <w:r w:rsidRPr="00781F4C">
        <w:rPr>
          <w:rFonts w:asciiTheme="majorBidi" w:hAnsiTheme="majorBidi" w:cstheme="majorBidi"/>
          <w:i/>
          <w:iCs/>
          <w:sz w:val="18"/>
          <w:szCs w:val="18"/>
        </w:rPr>
        <w:t>Ecological Indicators</w:t>
      </w:r>
      <w:r w:rsidR="00F8508B" w:rsidRPr="00781F4C">
        <w:rPr>
          <w:rFonts w:asciiTheme="majorBidi" w:hAnsiTheme="majorBidi" w:cstheme="majorBidi"/>
          <w:i/>
          <w:iCs/>
          <w:sz w:val="18"/>
          <w:szCs w:val="18"/>
        </w:rPr>
        <w:t>,</w:t>
      </w:r>
      <w:r w:rsidRPr="00781F4C">
        <w:rPr>
          <w:rFonts w:asciiTheme="majorBidi" w:hAnsiTheme="majorBidi" w:cstheme="majorBidi"/>
          <w:sz w:val="18"/>
          <w:szCs w:val="18"/>
        </w:rPr>
        <w:t xml:space="preserve"> 60:</w:t>
      </w:r>
      <w:r w:rsidR="00F8508B" w:rsidRPr="00781F4C">
        <w:rPr>
          <w:rFonts w:asciiTheme="majorBidi" w:hAnsiTheme="majorBidi" w:cstheme="majorBidi"/>
          <w:sz w:val="18"/>
          <w:szCs w:val="18"/>
        </w:rPr>
        <w:t xml:space="preserve"> </w:t>
      </w:r>
      <w:r w:rsidR="003E5B6D" w:rsidRPr="00781F4C">
        <w:rPr>
          <w:rFonts w:asciiTheme="majorBidi" w:hAnsiTheme="majorBidi" w:cstheme="majorBidi"/>
          <w:sz w:val="18"/>
          <w:szCs w:val="18"/>
        </w:rPr>
        <w:t xml:space="preserve">283-291. </w:t>
      </w:r>
      <w:hyperlink r:id="rId32" w:history="1">
        <w:r w:rsidR="003E5B6D" w:rsidRPr="00781F4C">
          <w:rPr>
            <w:rFonts w:asciiTheme="majorBidi" w:hAnsiTheme="majorBidi" w:cstheme="majorBidi"/>
            <w:sz w:val="18"/>
            <w:szCs w:val="18"/>
          </w:rPr>
          <w:t>https://doi.org/210.1016/j.ecolind.2015.1006.1040</w:t>
        </w:r>
      </w:hyperlink>
      <w:r w:rsidR="003E5B6D" w:rsidRPr="00781F4C">
        <w:rPr>
          <w:rFonts w:asciiTheme="majorBidi" w:hAnsiTheme="majorBidi" w:cstheme="majorBidi"/>
          <w:sz w:val="18"/>
          <w:szCs w:val="18"/>
        </w:rPr>
        <w:t xml:space="preserve">. </w:t>
      </w:r>
    </w:p>
    <w:p w14:paraId="5FE6C382" w14:textId="42095F5A" w:rsidR="000B2888" w:rsidRPr="00781F4C" w:rsidRDefault="00DB7377" w:rsidP="00B71320">
      <w:pPr>
        <w:spacing w:before="120"/>
        <w:ind w:left="284" w:hanging="284"/>
        <w:jc w:val="both"/>
        <w:rPr>
          <w:rFonts w:asciiTheme="majorBidi" w:hAnsiTheme="majorBidi" w:cstheme="majorBidi"/>
          <w:sz w:val="18"/>
          <w:szCs w:val="18"/>
        </w:rPr>
      </w:pPr>
      <w:r w:rsidRPr="00781F4C">
        <w:rPr>
          <w:rFonts w:asciiTheme="majorBidi" w:hAnsiTheme="majorBidi" w:cstheme="majorBidi"/>
          <w:sz w:val="18"/>
          <w:szCs w:val="18"/>
        </w:rPr>
        <w:t>Uddin GZ</w:t>
      </w:r>
      <w:r w:rsidR="00F8508B" w:rsidRPr="00781F4C">
        <w:rPr>
          <w:rFonts w:asciiTheme="majorBidi" w:hAnsiTheme="majorBidi" w:cstheme="majorBidi"/>
          <w:sz w:val="18"/>
          <w:szCs w:val="18"/>
        </w:rPr>
        <w:t>.</w:t>
      </w:r>
      <w:r w:rsidRPr="00781F4C">
        <w:rPr>
          <w:rFonts w:asciiTheme="majorBidi" w:hAnsiTheme="majorBidi" w:cstheme="majorBidi"/>
          <w:sz w:val="18"/>
          <w:szCs w:val="18"/>
        </w:rPr>
        <w:t>,</w:t>
      </w:r>
      <w:r w:rsidR="000B2888" w:rsidRPr="00781F4C">
        <w:rPr>
          <w:rFonts w:asciiTheme="majorBidi" w:hAnsiTheme="majorBidi" w:cstheme="majorBidi"/>
          <w:sz w:val="18"/>
          <w:szCs w:val="18"/>
        </w:rPr>
        <w:t xml:space="preserve"> Sa</w:t>
      </w:r>
      <w:r w:rsidRPr="00781F4C">
        <w:rPr>
          <w:rFonts w:asciiTheme="majorBidi" w:hAnsiTheme="majorBidi" w:cstheme="majorBidi"/>
          <w:sz w:val="18"/>
          <w:szCs w:val="18"/>
        </w:rPr>
        <w:t>lahuddin M</w:t>
      </w:r>
      <w:r w:rsidR="00F8508B" w:rsidRPr="00781F4C">
        <w:rPr>
          <w:rFonts w:asciiTheme="majorBidi" w:hAnsiTheme="majorBidi" w:cstheme="majorBidi"/>
          <w:sz w:val="18"/>
          <w:szCs w:val="18"/>
        </w:rPr>
        <w:t>.</w:t>
      </w:r>
      <w:r w:rsidRPr="00781F4C">
        <w:rPr>
          <w:rFonts w:asciiTheme="majorBidi" w:hAnsiTheme="majorBidi" w:cstheme="majorBidi"/>
          <w:sz w:val="18"/>
          <w:szCs w:val="18"/>
        </w:rPr>
        <w:t>, Alam K</w:t>
      </w:r>
      <w:r w:rsidR="00F8508B" w:rsidRPr="00781F4C">
        <w:rPr>
          <w:rFonts w:asciiTheme="majorBidi" w:hAnsiTheme="majorBidi" w:cstheme="majorBidi"/>
          <w:sz w:val="18"/>
          <w:szCs w:val="18"/>
        </w:rPr>
        <w:t>.</w:t>
      </w:r>
      <w:r w:rsidRPr="00781F4C">
        <w:rPr>
          <w:rFonts w:asciiTheme="majorBidi" w:hAnsiTheme="majorBidi" w:cstheme="majorBidi"/>
          <w:sz w:val="18"/>
          <w:szCs w:val="18"/>
        </w:rPr>
        <w:t>, Gow J</w:t>
      </w:r>
      <w:r w:rsidR="00F8508B" w:rsidRPr="00781F4C">
        <w:rPr>
          <w:rFonts w:asciiTheme="majorBidi" w:hAnsiTheme="majorBidi" w:cstheme="majorBidi"/>
          <w:sz w:val="18"/>
          <w:szCs w:val="18"/>
        </w:rPr>
        <w:t>.</w:t>
      </w:r>
      <w:r w:rsidR="000B2888" w:rsidRPr="00781F4C">
        <w:rPr>
          <w:rFonts w:asciiTheme="majorBidi" w:hAnsiTheme="majorBidi" w:cstheme="majorBidi"/>
          <w:sz w:val="18"/>
          <w:szCs w:val="18"/>
        </w:rPr>
        <w:t xml:space="preserve"> </w:t>
      </w:r>
      <w:r w:rsidR="00E00E1E" w:rsidRPr="00781F4C">
        <w:rPr>
          <w:rFonts w:asciiTheme="majorBidi" w:hAnsiTheme="majorBidi" w:cstheme="majorBidi"/>
          <w:sz w:val="18"/>
          <w:szCs w:val="18"/>
        </w:rPr>
        <w:t>(</w:t>
      </w:r>
      <w:r w:rsidR="000B2888" w:rsidRPr="00781F4C">
        <w:rPr>
          <w:rFonts w:asciiTheme="majorBidi" w:hAnsiTheme="majorBidi" w:cstheme="majorBidi"/>
          <w:sz w:val="18"/>
          <w:szCs w:val="18"/>
        </w:rPr>
        <w:t>2017</w:t>
      </w:r>
      <w:r w:rsidR="00E00E1E" w:rsidRPr="00781F4C">
        <w:rPr>
          <w:rFonts w:asciiTheme="majorBidi" w:hAnsiTheme="majorBidi" w:cstheme="majorBidi"/>
          <w:sz w:val="18"/>
          <w:szCs w:val="18"/>
        </w:rPr>
        <w:t>)</w:t>
      </w:r>
      <w:r w:rsidR="00F8508B" w:rsidRPr="00781F4C">
        <w:rPr>
          <w:rFonts w:asciiTheme="majorBidi" w:hAnsiTheme="majorBidi" w:cstheme="majorBidi"/>
          <w:sz w:val="18"/>
          <w:szCs w:val="18"/>
        </w:rPr>
        <w:t>.</w:t>
      </w:r>
      <w:r w:rsidR="000B2888" w:rsidRPr="00781F4C">
        <w:rPr>
          <w:rFonts w:asciiTheme="majorBidi" w:hAnsiTheme="majorBidi" w:cstheme="majorBidi"/>
          <w:sz w:val="18"/>
          <w:szCs w:val="18"/>
        </w:rPr>
        <w:t xml:space="preserve"> Ecological footprint and real income: Panel data evidence from the 27 highest emitting c</w:t>
      </w:r>
      <w:r w:rsidRPr="00781F4C">
        <w:rPr>
          <w:rFonts w:asciiTheme="majorBidi" w:hAnsiTheme="majorBidi" w:cstheme="majorBidi"/>
          <w:sz w:val="18"/>
          <w:szCs w:val="18"/>
        </w:rPr>
        <w:t xml:space="preserve">ountries. </w:t>
      </w:r>
      <w:r w:rsidRPr="00781F4C">
        <w:rPr>
          <w:rFonts w:asciiTheme="majorBidi" w:hAnsiTheme="majorBidi" w:cstheme="majorBidi"/>
          <w:i/>
          <w:iCs/>
          <w:sz w:val="18"/>
          <w:szCs w:val="18"/>
        </w:rPr>
        <w:t>Ecological Indicators</w:t>
      </w:r>
      <w:r w:rsidR="00F8508B" w:rsidRPr="00781F4C">
        <w:rPr>
          <w:rFonts w:asciiTheme="majorBidi" w:hAnsiTheme="majorBidi" w:cstheme="majorBidi"/>
          <w:sz w:val="18"/>
          <w:szCs w:val="18"/>
        </w:rPr>
        <w:t>,</w:t>
      </w:r>
      <w:r w:rsidR="000B2888" w:rsidRPr="00781F4C">
        <w:rPr>
          <w:rFonts w:asciiTheme="majorBidi" w:hAnsiTheme="majorBidi" w:cstheme="majorBidi"/>
          <w:sz w:val="18"/>
          <w:szCs w:val="18"/>
        </w:rPr>
        <w:t xml:space="preserve"> 77: 166–175.</w:t>
      </w:r>
    </w:p>
    <w:p w14:paraId="09B0A452" w14:textId="1053A4AD" w:rsidR="00295008" w:rsidRPr="00781F4C" w:rsidRDefault="00DB7377" w:rsidP="00B71320">
      <w:pPr>
        <w:spacing w:before="120"/>
        <w:ind w:left="284" w:hanging="284"/>
        <w:jc w:val="both"/>
        <w:rPr>
          <w:rFonts w:asciiTheme="majorBidi" w:hAnsiTheme="majorBidi" w:cstheme="majorBidi"/>
          <w:sz w:val="18"/>
          <w:szCs w:val="18"/>
          <w:lang w:val="en-US" w:eastAsia="en-US"/>
        </w:rPr>
      </w:pPr>
      <w:r w:rsidRPr="00781F4C">
        <w:rPr>
          <w:rFonts w:asciiTheme="majorBidi" w:hAnsiTheme="majorBidi" w:cstheme="majorBidi"/>
          <w:sz w:val="18"/>
          <w:szCs w:val="18"/>
          <w:lang w:val="en-US"/>
        </w:rPr>
        <w:t>Wang Y</w:t>
      </w:r>
      <w:r w:rsidR="00F8508B"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Chen L</w:t>
      </w:r>
      <w:r w:rsidR="00F8508B"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Kubota J</w:t>
      </w:r>
      <w:r w:rsidR="00F8508B"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xml:space="preserve"> (2016)</w:t>
      </w:r>
      <w:r w:rsidR="00F8508B" w:rsidRPr="00781F4C">
        <w:rPr>
          <w:rFonts w:asciiTheme="majorBidi" w:hAnsiTheme="majorBidi" w:cstheme="majorBidi"/>
          <w:sz w:val="18"/>
          <w:szCs w:val="18"/>
          <w:lang w:val="en-US"/>
        </w:rPr>
        <w:t>.</w:t>
      </w:r>
      <w:r w:rsidR="00295008" w:rsidRPr="00781F4C">
        <w:rPr>
          <w:rFonts w:asciiTheme="majorBidi" w:hAnsiTheme="majorBidi" w:cstheme="majorBidi"/>
          <w:sz w:val="18"/>
          <w:szCs w:val="18"/>
          <w:lang w:val="en-US"/>
        </w:rPr>
        <w:t xml:space="preserve"> The relationship between urbanization, energy use and carbon emissions: evidence from a panel of Association of Southeast Asian Nations (ASEAN) countries</w:t>
      </w:r>
      <w:r w:rsidRPr="00781F4C">
        <w:rPr>
          <w:rFonts w:asciiTheme="majorBidi" w:hAnsiTheme="majorBidi" w:cstheme="majorBidi"/>
          <w:sz w:val="18"/>
          <w:szCs w:val="18"/>
          <w:lang w:val="en-US"/>
        </w:rPr>
        <w:t xml:space="preserve">. </w:t>
      </w:r>
      <w:r w:rsidRPr="00781F4C">
        <w:rPr>
          <w:rFonts w:asciiTheme="majorBidi" w:hAnsiTheme="majorBidi" w:cstheme="majorBidi"/>
          <w:i/>
          <w:iCs/>
          <w:sz w:val="18"/>
          <w:szCs w:val="18"/>
          <w:lang w:val="en-US"/>
        </w:rPr>
        <w:t>Journal of Cleaner Production</w:t>
      </w:r>
      <w:r w:rsidR="00F8508B"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xml:space="preserve"> 112:</w:t>
      </w:r>
      <w:r w:rsidR="00F8508B" w:rsidRPr="00781F4C">
        <w:rPr>
          <w:rFonts w:asciiTheme="majorBidi" w:hAnsiTheme="majorBidi" w:cstheme="majorBidi"/>
          <w:sz w:val="18"/>
          <w:szCs w:val="18"/>
          <w:lang w:val="en-US"/>
        </w:rPr>
        <w:t xml:space="preserve"> </w:t>
      </w:r>
      <w:r w:rsidR="00295008" w:rsidRPr="00781F4C">
        <w:rPr>
          <w:rFonts w:asciiTheme="majorBidi" w:hAnsiTheme="majorBidi" w:cstheme="majorBidi"/>
          <w:sz w:val="18"/>
          <w:szCs w:val="18"/>
          <w:lang w:val="en-US"/>
        </w:rPr>
        <w:t xml:space="preserve">1368-1374. </w:t>
      </w:r>
      <w:hyperlink r:id="rId33" w:history="1">
        <w:r w:rsidR="00174704" w:rsidRPr="00781F4C">
          <w:rPr>
            <w:rFonts w:asciiTheme="majorBidi" w:hAnsiTheme="majorBidi" w:cstheme="majorBidi"/>
            <w:sz w:val="18"/>
            <w:szCs w:val="18"/>
            <w:lang w:val="en-US" w:eastAsia="en-US"/>
          </w:rPr>
          <w:t>https://doi.org/1310.1016/j.jclepro.2015.1306.1041</w:t>
        </w:r>
      </w:hyperlink>
      <w:r w:rsidR="00295008" w:rsidRPr="00781F4C">
        <w:rPr>
          <w:rFonts w:asciiTheme="majorBidi" w:hAnsiTheme="majorBidi" w:cstheme="majorBidi"/>
          <w:sz w:val="18"/>
          <w:szCs w:val="18"/>
          <w:lang w:val="en-US" w:eastAsia="en-US"/>
        </w:rPr>
        <w:t>.</w:t>
      </w:r>
    </w:p>
    <w:p w14:paraId="13E5A7D8" w14:textId="2FB54841" w:rsidR="00D81DAD" w:rsidRPr="00781F4C" w:rsidRDefault="00DB7377" w:rsidP="00B71320">
      <w:pPr>
        <w:spacing w:before="120"/>
        <w:ind w:left="284" w:hanging="284"/>
        <w:jc w:val="both"/>
        <w:rPr>
          <w:rFonts w:asciiTheme="majorBidi" w:hAnsiTheme="majorBidi" w:cstheme="majorBidi"/>
          <w:sz w:val="18"/>
          <w:szCs w:val="18"/>
          <w:lang w:val="en-US"/>
        </w:rPr>
      </w:pPr>
      <w:r w:rsidRPr="00781F4C">
        <w:rPr>
          <w:rFonts w:asciiTheme="majorBidi" w:hAnsiTheme="majorBidi" w:cstheme="majorBidi"/>
          <w:sz w:val="18"/>
          <w:szCs w:val="18"/>
          <w:lang w:val="en-US"/>
        </w:rPr>
        <w:t>Wang J</w:t>
      </w:r>
      <w:r w:rsidR="00F8508B"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Dong K</w:t>
      </w:r>
      <w:r w:rsidR="00F8508B"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xml:space="preserve"> (2019)</w:t>
      </w:r>
      <w:r w:rsidR="00F8508B" w:rsidRPr="00781F4C">
        <w:rPr>
          <w:rFonts w:asciiTheme="majorBidi" w:hAnsiTheme="majorBidi" w:cstheme="majorBidi"/>
          <w:sz w:val="18"/>
          <w:szCs w:val="18"/>
          <w:lang w:val="en-US"/>
        </w:rPr>
        <w:t>.</w:t>
      </w:r>
      <w:r w:rsidR="00D81DAD" w:rsidRPr="00781F4C">
        <w:rPr>
          <w:rFonts w:asciiTheme="majorBidi" w:hAnsiTheme="majorBidi" w:cstheme="majorBidi"/>
          <w:sz w:val="18"/>
          <w:szCs w:val="18"/>
          <w:lang w:val="en-US"/>
        </w:rPr>
        <w:t xml:space="preserve"> What drives environmental degradation? Evidence from 14 Sub-Saharan African countries. </w:t>
      </w:r>
      <w:r w:rsidR="00D81DAD" w:rsidRPr="00781F4C">
        <w:rPr>
          <w:rFonts w:asciiTheme="majorBidi" w:hAnsiTheme="majorBidi" w:cstheme="majorBidi"/>
          <w:i/>
          <w:iCs/>
          <w:sz w:val="18"/>
          <w:szCs w:val="18"/>
          <w:lang w:val="en-US"/>
        </w:rPr>
        <w:t>S</w:t>
      </w:r>
      <w:r w:rsidRPr="00781F4C">
        <w:rPr>
          <w:rFonts w:asciiTheme="majorBidi" w:hAnsiTheme="majorBidi" w:cstheme="majorBidi"/>
          <w:i/>
          <w:iCs/>
          <w:sz w:val="18"/>
          <w:szCs w:val="18"/>
          <w:lang w:val="en-US"/>
        </w:rPr>
        <w:t>cience of The Total Environment</w:t>
      </w:r>
      <w:r w:rsidR="00F8508B" w:rsidRPr="00781F4C">
        <w:rPr>
          <w:rFonts w:asciiTheme="majorBidi" w:hAnsiTheme="majorBidi" w:cstheme="majorBidi"/>
          <w:i/>
          <w:iCs/>
          <w:sz w:val="18"/>
          <w:szCs w:val="18"/>
          <w:lang w:val="en-US"/>
        </w:rPr>
        <w:t>,</w:t>
      </w:r>
      <w:r w:rsidRPr="00781F4C">
        <w:rPr>
          <w:rFonts w:asciiTheme="majorBidi" w:hAnsiTheme="majorBidi" w:cstheme="majorBidi"/>
          <w:sz w:val="18"/>
          <w:szCs w:val="18"/>
          <w:lang w:val="en-US"/>
        </w:rPr>
        <w:t xml:space="preserve"> 656:</w:t>
      </w:r>
      <w:r w:rsidR="00F8508B" w:rsidRPr="00781F4C">
        <w:rPr>
          <w:rFonts w:asciiTheme="majorBidi" w:hAnsiTheme="majorBidi" w:cstheme="majorBidi"/>
          <w:sz w:val="18"/>
          <w:szCs w:val="18"/>
          <w:lang w:val="en-US"/>
        </w:rPr>
        <w:t xml:space="preserve"> </w:t>
      </w:r>
      <w:r w:rsidR="00D81DAD" w:rsidRPr="00781F4C">
        <w:rPr>
          <w:rFonts w:asciiTheme="majorBidi" w:hAnsiTheme="majorBidi" w:cstheme="majorBidi"/>
          <w:sz w:val="18"/>
          <w:szCs w:val="18"/>
          <w:lang w:val="en-US"/>
        </w:rPr>
        <w:t>165-173. https://doi.org/110.1016/j.scitotenv.2018.1011.1354.</w:t>
      </w:r>
    </w:p>
    <w:p w14:paraId="589C90F7" w14:textId="7C8FF48D" w:rsidR="00295008" w:rsidRPr="00CF6621" w:rsidRDefault="00DB7377" w:rsidP="00B71320">
      <w:pPr>
        <w:spacing w:before="120"/>
        <w:ind w:left="284" w:hanging="284"/>
        <w:jc w:val="both"/>
        <w:rPr>
          <w:rFonts w:asciiTheme="majorBidi" w:hAnsiTheme="majorBidi" w:cstheme="majorBidi"/>
          <w:color w:val="000000" w:themeColor="text1"/>
          <w:sz w:val="18"/>
          <w:szCs w:val="18"/>
          <w:lang w:val="en-US"/>
        </w:rPr>
      </w:pPr>
      <w:r w:rsidRPr="00781F4C">
        <w:rPr>
          <w:rFonts w:asciiTheme="majorBidi" w:hAnsiTheme="majorBidi" w:cstheme="majorBidi"/>
          <w:sz w:val="18"/>
          <w:szCs w:val="18"/>
          <w:lang w:val="en-US"/>
        </w:rPr>
        <w:t>Wang Z</w:t>
      </w:r>
      <w:r w:rsidR="00F8508B"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xml:space="preserve">, </w:t>
      </w:r>
      <w:proofErr w:type="spellStart"/>
      <w:r w:rsidRPr="00781F4C">
        <w:rPr>
          <w:rFonts w:asciiTheme="majorBidi" w:hAnsiTheme="majorBidi" w:cstheme="majorBidi"/>
          <w:sz w:val="18"/>
          <w:szCs w:val="18"/>
          <w:lang w:val="en-US"/>
        </w:rPr>
        <w:t>Jebli</w:t>
      </w:r>
      <w:proofErr w:type="spellEnd"/>
      <w:r w:rsidRPr="00781F4C">
        <w:rPr>
          <w:rFonts w:asciiTheme="majorBidi" w:hAnsiTheme="majorBidi" w:cstheme="majorBidi"/>
          <w:sz w:val="18"/>
          <w:szCs w:val="18"/>
          <w:lang w:val="en-US"/>
        </w:rPr>
        <w:t xml:space="preserve"> MB</w:t>
      </w:r>
      <w:r w:rsidR="00F8508B"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Madaleno M</w:t>
      </w:r>
      <w:r w:rsidR="00F8508B"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Doğan B</w:t>
      </w:r>
      <w:r w:rsidR="00F8508B"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Shahzad U</w:t>
      </w:r>
      <w:r w:rsidR="00F8508B"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xml:space="preserve"> (2021)</w:t>
      </w:r>
      <w:r w:rsidR="00F8508B" w:rsidRPr="00781F4C">
        <w:rPr>
          <w:rFonts w:asciiTheme="majorBidi" w:hAnsiTheme="majorBidi" w:cstheme="majorBidi"/>
          <w:sz w:val="18"/>
          <w:szCs w:val="18"/>
          <w:lang w:val="en-US"/>
        </w:rPr>
        <w:t>.</w:t>
      </w:r>
      <w:r w:rsidR="00295008" w:rsidRPr="00781F4C">
        <w:rPr>
          <w:rFonts w:asciiTheme="majorBidi" w:hAnsiTheme="majorBidi" w:cstheme="majorBidi"/>
          <w:sz w:val="18"/>
          <w:szCs w:val="18"/>
          <w:lang w:val="en-US"/>
        </w:rPr>
        <w:t xml:space="preserve"> Does export product quality and renewable energy induce carbon dioxide emissions: Evidence from leading complex and renewable ene</w:t>
      </w:r>
      <w:r w:rsidRPr="00781F4C">
        <w:rPr>
          <w:rFonts w:asciiTheme="majorBidi" w:hAnsiTheme="majorBidi" w:cstheme="majorBidi"/>
          <w:sz w:val="18"/>
          <w:szCs w:val="18"/>
          <w:lang w:val="en-US"/>
        </w:rPr>
        <w:t xml:space="preserve">rgy economies. </w:t>
      </w:r>
      <w:r w:rsidRPr="00781F4C">
        <w:rPr>
          <w:rFonts w:asciiTheme="majorBidi" w:hAnsiTheme="majorBidi" w:cstheme="majorBidi"/>
          <w:i/>
          <w:iCs/>
          <w:sz w:val="18"/>
          <w:szCs w:val="18"/>
          <w:lang w:val="en-US"/>
        </w:rPr>
        <w:t>Renewable Energy</w:t>
      </w:r>
      <w:r w:rsidR="00F8508B" w:rsidRPr="00781F4C">
        <w:rPr>
          <w:rFonts w:asciiTheme="majorBidi" w:hAnsiTheme="majorBidi" w:cstheme="majorBidi"/>
          <w:i/>
          <w:iCs/>
          <w:sz w:val="18"/>
          <w:szCs w:val="18"/>
          <w:lang w:val="en-US"/>
        </w:rPr>
        <w:t>,</w:t>
      </w:r>
      <w:r w:rsidR="00295008" w:rsidRPr="00781F4C">
        <w:rPr>
          <w:rFonts w:asciiTheme="majorBidi" w:hAnsiTheme="majorBidi" w:cstheme="majorBidi"/>
          <w:sz w:val="18"/>
          <w:szCs w:val="18"/>
          <w:lang w:val="en-US"/>
        </w:rPr>
        <w:t xml:space="preserve"> 171</w:t>
      </w:r>
      <w:r w:rsidRPr="00781F4C">
        <w:rPr>
          <w:rFonts w:asciiTheme="majorBidi" w:hAnsiTheme="majorBidi" w:cstheme="majorBidi"/>
          <w:sz w:val="18"/>
          <w:szCs w:val="18"/>
          <w:lang w:val="en-US"/>
        </w:rPr>
        <w:t>:</w:t>
      </w:r>
      <w:r w:rsidR="00F8508B" w:rsidRPr="00781F4C">
        <w:rPr>
          <w:rFonts w:asciiTheme="majorBidi" w:hAnsiTheme="majorBidi" w:cstheme="majorBidi"/>
          <w:sz w:val="18"/>
          <w:szCs w:val="18"/>
          <w:lang w:val="en-US"/>
        </w:rPr>
        <w:t xml:space="preserve"> </w:t>
      </w:r>
      <w:r w:rsidR="00295008" w:rsidRPr="00781F4C">
        <w:rPr>
          <w:rFonts w:asciiTheme="majorBidi" w:hAnsiTheme="majorBidi" w:cstheme="majorBidi"/>
          <w:sz w:val="18"/>
          <w:szCs w:val="18"/>
          <w:lang w:val="en-US"/>
        </w:rPr>
        <w:t>360-370</w:t>
      </w:r>
      <w:r w:rsidR="00295008" w:rsidRPr="00CF6621">
        <w:rPr>
          <w:rFonts w:asciiTheme="majorBidi" w:hAnsiTheme="majorBidi" w:cstheme="majorBidi"/>
          <w:color w:val="000000" w:themeColor="text1"/>
          <w:sz w:val="18"/>
          <w:szCs w:val="18"/>
          <w:lang w:val="en-US"/>
        </w:rPr>
        <w:t xml:space="preserve">. </w:t>
      </w:r>
      <w:hyperlink r:id="rId34" w:history="1">
        <w:r w:rsidR="00B1096B" w:rsidRPr="00CF6621">
          <w:rPr>
            <w:rStyle w:val="Hyperlink"/>
            <w:rFonts w:asciiTheme="majorBidi" w:hAnsiTheme="majorBidi" w:cstheme="majorBidi"/>
            <w:color w:val="000000" w:themeColor="text1"/>
            <w:sz w:val="18"/>
            <w:szCs w:val="18"/>
            <w:lang w:val="en-US"/>
          </w:rPr>
          <w:t>https://doi.org/310.1016/j.renene.2021.1002.1066</w:t>
        </w:r>
      </w:hyperlink>
      <w:r w:rsidR="00295008" w:rsidRPr="00CF6621">
        <w:rPr>
          <w:rFonts w:asciiTheme="majorBidi" w:hAnsiTheme="majorBidi" w:cstheme="majorBidi"/>
          <w:color w:val="000000" w:themeColor="text1"/>
          <w:sz w:val="18"/>
          <w:szCs w:val="18"/>
          <w:lang w:val="en-US"/>
        </w:rPr>
        <w:t>.</w:t>
      </w:r>
    </w:p>
    <w:p w14:paraId="27BAF386" w14:textId="04AD4A14" w:rsidR="00B1096B" w:rsidRPr="00EF7BE4" w:rsidRDefault="00DB7377" w:rsidP="00B71320">
      <w:pPr>
        <w:spacing w:before="120"/>
        <w:ind w:left="284" w:hanging="284"/>
        <w:jc w:val="both"/>
        <w:rPr>
          <w:rFonts w:asciiTheme="majorBidi" w:hAnsiTheme="majorBidi" w:cstheme="majorBidi"/>
          <w:color w:val="000000" w:themeColor="text1"/>
          <w:sz w:val="18"/>
          <w:szCs w:val="18"/>
        </w:rPr>
      </w:pPr>
      <w:r w:rsidRPr="00781F4C">
        <w:rPr>
          <w:rFonts w:asciiTheme="majorBidi" w:hAnsiTheme="majorBidi" w:cstheme="majorBidi"/>
          <w:sz w:val="18"/>
          <w:szCs w:val="18"/>
        </w:rPr>
        <w:t>Wilson J</w:t>
      </w:r>
      <w:r w:rsidR="00F8508B" w:rsidRPr="00781F4C">
        <w:rPr>
          <w:rFonts w:asciiTheme="majorBidi" w:hAnsiTheme="majorBidi" w:cstheme="majorBidi"/>
          <w:sz w:val="18"/>
          <w:szCs w:val="18"/>
        </w:rPr>
        <w:t>.</w:t>
      </w:r>
      <w:r w:rsidRPr="00781F4C">
        <w:rPr>
          <w:rFonts w:asciiTheme="majorBidi" w:hAnsiTheme="majorBidi" w:cstheme="majorBidi"/>
          <w:sz w:val="18"/>
          <w:szCs w:val="18"/>
        </w:rPr>
        <w:t>, Anielski M</w:t>
      </w:r>
      <w:r w:rsidR="00F8508B" w:rsidRPr="00781F4C">
        <w:rPr>
          <w:rFonts w:asciiTheme="majorBidi" w:hAnsiTheme="majorBidi" w:cstheme="majorBidi"/>
          <w:sz w:val="18"/>
          <w:szCs w:val="18"/>
        </w:rPr>
        <w:t>.</w:t>
      </w:r>
      <w:r w:rsidRPr="00781F4C">
        <w:rPr>
          <w:rFonts w:asciiTheme="majorBidi" w:hAnsiTheme="majorBidi" w:cstheme="majorBidi"/>
          <w:sz w:val="18"/>
          <w:szCs w:val="18"/>
        </w:rPr>
        <w:t xml:space="preserve"> (2005)</w:t>
      </w:r>
      <w:r w:rsidR="00F8508B" w:rsidRPr="00781F4C">
        <w:rPr>
          <w:rFonts w:asciiTheme="majorBidi" w:hAnsiTheme="majorBidi" w:cstheme="majorBidi"/>
          <w:sz w:val="18"/>
          <w:szCs w:val="18"/>
        </w:rPr>
        <w:t>.</w:t>
      </w:r>
      <w:r w:rsidR="00B1096B" w:rsidRPr="00781F4C">
        <w:rPr>
          <w:rFonts w:asciiTheme="majorBidi" w:hAnsiTheme="majorBidi" w:cstheme="majorBidi"/>
          <w:sz w:val="18"/>
          <w:szCs w:val="18"/>
        </w:rPr>
        <w:t xml:space="preserve"> Ecological Footprints of Canadian Municipalities and Regions, the Canadian Federation of Canadia</w:t>
      </w:r>
      <w:r w:rsidR="004E75D2" w:rsidRPr="00781F4C">
        <w:rPr>
          <w:rFonts w:asciiTheme="majorBidi" w:hAnsiTheme="majorBidi" w:cstheme="majorBidi"/>
          <w:sz w:val="18"/>
          <w:szCs w:val="18"/>
        </w:rPr>
        <w:t>n Municipalities. Anielski Management Inc</w:t>
      </w:r>
      <w:r w:rsidR="00B1096B" w:rsidRPr="00781F4C">
        <w:rPr>
          <w:rFonts w:asciiTheme="majorBidi" w:hAnsiTheme="majorBidi" w:cstheme="majorBidi"/>
          <w:sz w:val="18"/>
          <w:szCs w:val="18"/>
        </w:rPr>
        <w:t xml:space="preserve"> from</w:t>
      </w:r>
      <w:r w:rsidR="00B1096B" w:rsidRPr="00CF6621">
        <w:rPr>
          <w:rFonts w:asciiTheme="majorBidi" w:hAnsiTheme="majorBidi" w:cstheme="majorBidi"/>
          <w:color w:val="000000" w:themeColor="text1"/>
          <w:sz w:val="18"/>
          <w:szCs w:val="18"/>
        </w:rPr>
        <w:t xml:space="preserve">: </w:t>
      </w:r>
      <w:hyperlink r:id="rId35" w:history="1">
        <w:r w:rsidR="00B1096B" w:rsidRPr="00CF6621">
          <w:rPr>
            <w:rStyle w:val="Hyperlink"/>
            <w:rFonts w:asciiTheme="majorBidi" w:hAnsiTheme="majorBidi" w:cstheme="majorBidi"/>
            <w:color w:val="000000" w:themeColor="text1"/>
            <w:sz w:val="18"/>
            <w:szCs w:val="18"/>
          </w:rPr>
          <w:t>www.anielski.com</w:t>
        </w:r>
      </w:hyperlink>
      <w:r w:rsidR="00B1096B" w:rsidRPr="00EF7BE4">
        <w:rPr>
          <w:rFonts w:asciiTheme="majorBidi" w:hAnsiTheme="majorBidi" w:cstheme="majorBidi"/>
          <w:color w:val="000000" w:themeColor="text1"/>
          <w:sz w:val="18"/>
          <w:szCs w:val="18"/>
        </w:rPr>
        <w:t>.</w:t>
      </w:r>
    </w:p>
    <w:p w14:paraId="09722FE5" w14:textId="187831FD" w:rsidR="00295008" w:rsidRPr="00781F4C" w:rsidRDefault="004E75D2" w:rsidP="00B71320">
      <w:pPr>
        <w:spacing w:before="120"/>
        <w:ind w:left="284" w:hanging="284"/>
        <w:jc w:val="both"/>
        <w:rPr>
          <w:rFonts w:asciiTheme="majorBidi" w:hAnsiTheme="majorBidi" w:cstheme="majorBidi"/>
          <w:sz w:val="18"/>
          <w:szCs w:val="18"/>
          <w:lang w:val="en-US"/>
        </w:rPr>
      </w:pPr>
      <w:r w:rsidRPr="00781F4C">
        <w:rPr>
          <w:rFonts w:asciiTheme="majorBidi" w:hAnsiTheme="majorBidi" w:cstheme="majorBidi"/>
          <w:sz w:val="18"/>
          <w:szCs w:val="18"/>
          <w:lang w:val="en-US"/>
        </w:rPr>
        <w:t>World Bank Data (WBD)</w:t>
      </w:r>
      <w:r w:rsidR="00F8508B"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xml:space="preserve"> (2020)</w:t>
      </w:r>
      <w:r w:rsidR="00F8508B" w:rsidRPr="00781F4C">
        <w:rPr>
          <w:rFonts w:asciiTheme="majorBidi" w:hAnsiTheme="majorBidi" w:cstheme="majorBidi"/>
          <w:sz w:val="18"/>
          <w:szCs w:val="18"/>
          <w:lang w:val="en-US"/>
        </w:rPr>
        <w:t>.</w:t>
      </w:r>
      <w:r w:rsidR="00295008" w:rsidRPr="00781F4C">
        <w:rPr>
          <w:rFonts w:asciiTheme="majorBidi" w:hAnsiTheme="majorBidi" w:cstheme="majorBidi"/>
          <w:sz w:val="18"/>
          <w:szCs w:val="18"/>
          <w:lang w:val="en-US"/>
        </w:rPr>
        <w:t xml:space="preserve"> https://databank.worldbank.org/home.</w:t>
      </w:r>
    </w:p>
    <w:p w14:paraId="3A54AAA0" w14:textId="73354C8D" w:rsidR="00093033" w:rsidRPr="00781F4C" w:rsidRDefault="004E75D2" w:rsidP="00093033">
      <w:pPr>
        <w:spacing w:before="120"/>
        <w:ind w:left="284" w:hanging="284"/>
        <w:jc w:val="both"/>
        <w:rPr>
          <w:rFonts w:asciiTheme="majorBidi" w:hAnsiTheme="majorBidi" w:cstheme="majorBidi"/>
          <w:sz w:val="18"/>
          <w:szCs w:val="18"/>
          <w:lang w:val="en-US"/>
        </w:rPr>
      </w:pPr>
      <w:r w:rsidRPr="00781F4C">
        <w:rPr>
          <w:rFonts w:asciiTheme="majorBidi" w:hAnsiTheme="majorBidi" w:cstheme="majorBidi"/>
          <w:sz w:val="18"/>
          <w:szCs w:val="18"/>
          <w:lang w:val="en-US"/>
        </w:rPr>
        <w:t>Xu B</w:t>
      </w:r>
      <w:r w:rsidR="00F8508B"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Lin B</w:t>
      </w:r>
      <w:r w:rsidR="00F8508B" w:rsidRPr="00781F4C">
        <w:rPr>
          <w:rFonts w:asciiTheme="majorBidi" w:hAnsiTheme="majorBidi" w:cstheme="majorBidi"/>
          <w:sz w:val="18"/>
          <w:szCs w:val="18"/>
          <w:lang w:val="en-US"/>
        </w:rPr>
        <w:t>.</w:t>
      </w:r>
      <w:r w:rsidR="00295008" w:rsidRPr="00781F4C">
        <w:rPr>
          <w:rFonts w:asciiTheme="majorBidi" w:hAnsiTheme="majorBidi" w:cstheme="majorBidi"/>
          <w:sz w:val="18"/>
          <w:szCs w:val="18"/>
          <w:lang w:val="en-US"/>
        </w:rPr>
        <w:t xml:space="preserve"> (2018)</w:t>
      </w:r>
      <w:r w:rsidR="00F8508B" w:rsidRPr="00781F4C">
        <w:rPr>
          <w:rFonts w:asciiTheme="majorBidi" w:hAnsiTheme="majorBidi" w:cstheme="majorBidi"/>
          <w:sz w:val="18"/>
          <w:szCs w:val="18"/>
          <w:lang w:val="en-US"/>
        </w:rPr>
        <w:t>.</w:t>
      </w:r>
      <w:r w:rsidR="00295008" w:rsidRPr="00781F4C">
        <w:rPr>
          <w:rFonts w:asciiTheme="majorBidi" w:hAnsiTheme="majorBidi" w:cstheme="majorBidi"/>
          <w:sz w:val="18"/>
          <w:szCs w:val="18"/>
          <w:lang w:val="en-US"/>
        </w:rPr>
        <w:t xml:space="preserve"> What cause large regional differences in PM2. 5 pollutions in China? Evidence from quantile regression model. </w:t>
      </w:r>
      <w:r w:rsidR="00295008" w:rsidRPr="00781F4C">
        <w:rPr>
          <w:rFonts w:asciiTheme="majorBidi" w:hAnsiTheme="majorBidi" w:cstheme="majorBidi"/>
          <w:i/>
          <w:iCs/>
          <w:sz w:val="18"/>
          <w:szCs w:val="18"/>
          <w:lang w:val="en-US"/>
        </w:rPr>
        <w:t>Jour</w:t>
      </w:r>
      <w:r w:rsidRPr="00781F4C">
        <w:rPr>
          <w:rFonts w:asciiTheme="majorBidi" w:hAnsiTheme="majorBidi" w:cstheme="majorBidi"/>
          <w:i/>
          <w:iCs/>
          <w:sz w:val="18"/>
          <w:szCs w:val="18"/>
          <w:lang w:val="en-US"/>
        </w:rPr>
        <w:t>nal of Cleaner Production</w:t>
      </w:r>
      <w:r w:rsidRPr="00781F4C">
        <w:rPr>
          <w:rFonts w:asciiTheme="majorBidi" w:hAnsiTheme="majorBidi" w:cstheme="majorBidi"/>
          <w:sz w:val="18"/>
          <w:szCs w:val="18"/>
          <w:lang w:val="en-US"/>
        </w:rPr>
        <w:t>, 174:</w:t>
      </w:r>
      <w:r w:rsidR="00F8508B" w:rsidRPr="00781F4C">
        <w:rPr>
          <w:rFonts w:asciiTheme="majorBidi" w:hAnsiTheme="majorBidi" w:cstheme="majorBidi"/>
          <w:sz w:val="18"/>
          <w:szCs w:val="18"/>
          <w:lang w:val="en-US"/>
        </w:rPr>
        <w:t xml:space="preserve"> </w:t>
      </w:r>
      <w:r w:rsidR="00295008" w:rsidRPr="00781F4C">
        <w:rPr>
          <w:rFonts w:asciiTheme="majorBidi" w:hAnsiTheme="majorBidi" w:cstheme="majorBidi"/>
          <w:sz w:val="18"/>
          <w:szCs w:val="18"/>
          <w:lang w:val="en-US"/>
        </w:rPr>
        <w:t>447-461. https://doi.org/410.1016/j.jclepro.2017.1011.1008.</w:t>
      </w:r>
    </w:p>
    <w:p w14:paraId="590E3E08" w14:textId="73E7357C" w:rsidR="00221DCE" w:rsidRPr="00221DCE" w:rsidRDefault="004E75D2" w:rsidP="00221DCE">
      <w:pPr>
        <w:rPr>
          <w:sz w:val="20"/>
          <w:szCs w:val="20"/>
        </w:rPr>
      </w:pPr>
      <w:r w:rsidRPr="00781F4C">
        <w:rPr>
          <w:rFonts w:asciiTheme="majorBidi" w:hAnsiTheme="majorBidi" w:cstheme="majorBidi"/>
          <w:sz w:val="18"/>
          <w:szCs w:val="18"/>
          <w:lang w:val="en-US"/>
        </w:rPr>
        <w:t>Zhang S</w:t>
      </w:r>
      <w:r w:rsidR="00F8508B"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Liu X</w:t>
      </w:r>
      <w:r w:rsidR="00F8508B" w:rsidRPr="00781F4C">
        <w:rPr>
          <w:rFonts w:asciiTheme="majorBidi" w:hAnsiTheme="majorBidi" w:cstheme="majorBidi"/>
          <w:sz w:val="18"/>
          <w:szCs w:val="18"/>
          <w:lang w:val="en-US"/>
        </w:rPr>
        <w:t>.</w:t>
      </w:r>
      <w:r w:rsidRPr="00781F4C">
        <w:rPr>
          <w:rFonts w:asciiTheme="majorBidi" w:hAnsiTheme="majorBidi" w:cstheme="majorBidi"/>
          <w:sz w:val="18"/>
          <w:szCs w:val="18"/>
          <w:lang w:val="en-US"/>
        </w:rPr>
        <w:t>, Bae J</w:t>
      </w:r>
      <w:r w:rsidR="00F8508B" w:rsidRPr="00781F4C">
        <w:rPr>
          <w:rFonts w:asciiTheme="majorBidi" w:hAnsiTheme="majorBidi" w:cstheme="majorBidi"/>
          <w:sz w:val="18"/>
          <w:szCs w:val="18"/>
          <w:lang w:val="en-US"/>
        </w:rPr>
        <w:t>.</w:t>
      </w:r>
      <w:r w:rsidR="00295008" w:rsidRPr="00781F4C">
        <w:rPr>
          <w:rFonts w:asciiTheme="majorBidi" w:hAnsiTheme="majorBidi" w:cstheme="majorBidi"/>
          <w:sz w:val="18"/>
          <w:szCs w:val="18"/>
          <w:lang w:val="en-US"/>
        </w:rPr>
        <w:t xml:space="preserve"> (2017)</w:t>
      </w:r>
      <w:r w:rsidR="00F8508B" w:rsidRPr="00781F4C">
        <w:rPr>
          <w:rFonts w:asciiTheme="majorBidi" w:hAnsiTheme="majorBidi" w:cstheme="majorBidi"/>
          <w:sz w:val="18"/>
          <w:szCs w:val="18"/>
          <w:lang w:val="en-US"/>
        </w:rPr>
        <w:t>.</w:t>
      </w:r>
      <w:r w:rsidR="008A6B2A" w:rsidRPr="00781F4C">
        <w:rPr>
          <w:rFonts w:asciiTheme="majorBidi" w:hAnsiTheme="majorBidi" w:cstheme="majorBidi"/>
          <w:sz w:val="18"/>
          <w:szCs w:val="18"/>
          <w:lang w:val="en-US"/>
        </w:rPr>
        <w:t xml:space="preserve"> Does trade openness affect CO</w:t>
      </w:r>
      <w:r w:rsidR="00295008" w:rsidRPr="00781F4C">
        <w:rPr>
          <w:rFonts w:asciiTheme="majorBidi" w:hAnsiTheme="majorBidi" w:cstheme="majorBidi"/>
          <w:sz w:val="18"/>
          <w:szCs w:val="18"/>
          <w:lang w:val="en-US"/>
        </w:rPr>
        <w:t xml:space="preserve">2 emissions: evidence from ten newly industrialized countries? </w:t>
      </w:r>
      <w:r w:rsidR="00295008" w:rsidRPr="00781F4C">
        <w:rPr>
          <w:rFonts w:asciiTheme="majorBidi" w:hAnsiTheme="majorBidi" w:cstheme="majorBidi"/>
          <w:i/>
          <w:iCs/>
          <w:sz w:val="18"/>
          <w:szCs w:val="18"/>
          <w:lang w:val="en-US"/>
        </w:rPr>
        <w:t xml:space="preserve">Environmental Science </w:t>
      </w:r>
      <w:r w:rsidRPr="00781F4C">
        <w:rPr>
          <w:rFonts w:asciiTheme="majorBidi" w:hAnsiTheme="majorBidi" w:cstheme="majorBidi"/>
          <w:i/>
          <w:iCs/>
          <w:sz w:val="18"/>
          <w:szCs w:val="18"/>
          <w:lang w:val="en-US"/>
        </w:rPr>
        <w:t>and Pollution Research</w:t>
      </w:r>
      <w:r w:rsidRPr="00781F4C">
        <w:rPr>
          <w:rFonts w:asciiTheme="majorBidi" w:hAnsiTheme="majorBidi" w:cstheme="majorBidi"/>
          <w:sz w:val="18"/>
          <w:szCs w:val="18"/>
          <w:lang w:val="en-US"/>
        </w:rPr>
        <w:t>, 24(21):</w:t>
      </w:r>
      <w:r w:rsidR="00F8508B" w:rsidRPr="00781F4C">
        <w:rPr>
          <w:rFonts w:asciiTheme="majorBidi" w:hAnsiTheme="majorBidi" w:cstheme="majorBidi"/>
          <w:sz w:val="18"/>
          <w:szCs w:val="18"/>
          <w:lang w:val="en-US"/>
        </w:rPr>
        <w:t xml:space="preserve"> </w:t>
      </w:r>
      <w:r w:rsidR="00295008" w:rsidRPr="00781F4C">
        <w:rPr>
          <w:rFonts w:asciiTheme="majorBidi" w:hAnsiTheme="majorBidi" w:cstheme="majorBidi"/>
          <w:sz w:val="18"/>
          <w:szCs w:val="18"/>
          <w:lang w:val="en-US"/>
        </w:rPr>
        <w:t>17616-17625. https://doi.org/17610.11007/s11356-17017-19392-17618.</w:t>
      </w:r>
    </w:p>
    <w:p w14:paraId="360C260D" w14:textId="0B1C9F23" w:rsidR="00221DCE" w:rsidRPr="00221DCE" w:rsidRDefault="00221DCE" w:rsidP="00221DCE">
      <w:pPr>
        <w:rPr>
          <w:sz w:val="20"/>
          <w:szCs w:val="20"/>
        </w:rPr>
      </w:pPr>
    </w:p>
    <w:p w14:paraId="6E9EC899" w14:textId="3A4E7323" w:rsidR="00781F4C" w:rsidRPr="00781F4C" w:rsidRDefault="00781F4C" w:rsidP="00781F4C">
      <w:pPr>
        <w:tabs>
          <w:tab w:val="left" w:pos="6575"/>
        </w:tabs>
        <w:rPr>
          <w:sz w:val="20"/>
          <w:szCs w:val="20"/>
        </w:rPr>
      </w:pPr>
    </w:p>
    <w:sectPr w:rsidR="00781F4C" w:rsidRPr="00781F4C">
      <w:footerReference w:type="default" r:id="rId36"/>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FD43C" w14:textId="77777777" w:rsidR="00613035" w:rsidRDefault="00613035" w:rsidP="00DB3865">
      <w:r>
        <w:separator/>
      </w:r>
    </w:p>
  </w:endnote>
  <w:endnote w:type="continuationSeparator" w:id="0">
    <w:p w14:paraId="6EA38127" w14:textId="77777777" w:rsidR="00613035" w:rsidRDefault="00613035" w:rsidP="00DB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vOT863180fb">
    <w:altName w:val="Times New Roman"/>
    <w:panose1 w:val="00000000000000000000"/>
    <w:charset w:val="00"/>
    <w:family w:val="roman"/>
    <w:notTrueType/>
    <w:pitch w:val="default"/>
  </w:font>
  <w:font w:name="AdvPS44A44B">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788813"/>
      <w:docPartObj>
        <w:docPartGallery w:val="Page Numbers (Bottom of Page)"/>
        <w:docPartUnique/>
      </w:docPartObj>
    </w:sdtPr>
    <w:sdtEndPr>
      <w:rPr>
        <w:noProof/>
      </w:rPr>
    </w:sdtEndPr>
    <w:sdtContent>
      <w:p w14:paraId="225E7784" w14:textId="1BAFAA5B" w:rsidR="00EF7BE4" w:rsidRDefault="00EF7BE4">
        <w:pPr>
          <w:pStyle w:val="Footer"/>
          <w:jc w:val="center"/>
          <w:rPr>
            <w:i/>
            <w:iCs/>
            <w:noProof/>
            <w:sz w:val="20"/>
            <w:szCs w:val="20"/>
          </w:rPr>
        </w:pPr>
        <w:r w:rsidRPr="00221DCE">
          <w:rPr>
            <w:i/>
            <w:iCs/>
            <w:sz w:val="20"/>
            <w:szCs w:val="20"/>
          </w:rPr>
          <w:fldChar w:fldCharType="begin"/>
        </w:r>
        <w:r w:rsidRPr="00221DCE">
          <w:rPr>
            <w:i/>
            <w:iCs/>
            <w:sz w:val="20"/>
            <w:szCs w:val="20"/>
          </w:rPr>
          <w:instrText xml:space="preserve"> PAGE   \* MERGEFORMAT </w:instrText>
        </w:r>
        <w:r w:rsidRPr="00221DCE">
          <w:rPr>
            <w:i/>
            <w:iCs/>
            <w:sz w:val="20"/>
            <w:szCs w:val="20"/>
          </w:rPr>
          <w:fldChar w:fldCharType="separate"/>
        </w:r>
        <w:r w:rsidR="00A2422B">
          <w:rPr>
            <w:i/>
            <w:iCs/>
            <w:noProof/>
            <w:sz w:val="20"/>
            <w:szCs w:val="20"/>
          </w:rPr>
          <w:t>1</w:t>
        </w:r>
        <w:r w:rsidRPr="00221DCE">
          <w:rPr>
            <w:i/>
            <w:iCs/>
            <w:noProof/>
            <w:sz w:val="20"/>
            <w:szCs w:val="20"/>
          </w:rPr>
          <w:fldChar w:fldCharType="end"/>
        </w:r>
      </w:p>
      <w:p w14:paraId="6ABBB42D" w14:textId="45B741A7" w:rsidR="00EF7BE4" w:rsidRDefault="00000000">
        <w:pPr>
          <w:pStyle w:val="Footer"/>
          <w:jc w:val="center"/>
        </w:pPr>
      </w:p>
    </w:sdtContent>
  </w:sdt>
  <w:p w14:paraId="20CE034E" w14:textId="77777777" w:rsidR="00EF7BE4" w:rsidRDefault="00EF7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E22A" w14:textId="77777777" w:rsidR="00613035" w:rsidRDefault="00613035" w:rsidP="00DB3865">
      <w:r>
        <w:separator/>
      </w:r>
    </w:p>
  </w:footnote>
  <w:footnote w:type="continuationSeparator" w:id="0">
    <w:p w14:paraId="7586F962" w14:textId="77777777" w:rsidR="00613035" w:rsidRDefault="00613035" w:rsidP="00DB3865">
      <w:r>
        <w:continuationSeparator/>
      </w:r>
    </w:p>
  </w:footnote>
  <w:footnote w:id="1">
    <w:p w14:paraId="7BB100A4" w14:textId="7D1624DC" w:rsidR="00EF7BE4" w:rsidRDefault="00EF7BE4" w:rsidP="00EF7BE4">
      <w:pPr>
        <w:pStyle w:val="FootnoteText"/>
      </w:pPr>
    </w:p>
    <w:p w14:paraId="1445D9CE" w14:textId="121499F4" w:rsidR="00EF7BE4" w:rsidRPr="00EF7BE4" w:rsidRDefault="00EF7BE4" w:rsidP="00EF7BE4">
      <w:pPr>
        <w:pStyle w:val="FootnoteText"/>
        <w:ind w:firstLine="284"/>
        <w:rPr>
          <w:rFonts w:asciiTheme="majorBidi" w:hAnsiTheme="majorBidi" w:cstheme="majorBidi"/>
          <w:color w:val="000000" w:themeColor="text1"/>
          <w:sz w:val="18"/>
          <w:szCs w:val="18"/>
        </w:rPr>
      </w:pPr>
      <w:r w:rsidRPr="00736542">
        <w:rPr>
          <w:rStyle w:val="FootnoteReference"/>
          <w:rFonts w:ascii="Cambria Math" w:hAnsi="Cambria Math" w:cs="Cambria Math"/>
          <w:sz w:val="18"/>
          <w:szCs w:val="18"/>
        </w:rPr>
        <w:t>∗</w:t>
      </w:r>
      <w:r>
        <w:rPr>
          <w:rFonts w:ascii="Cambria Math" w:hAnsi="Cambria Math" w:cs="Cambria Math"/>
          <w:sz w:val="18"/>
          <w:szCs w:val="18"/>
        </w:rPr>
        <w:t xml:space="preserve"> </w:t>
      </w:r>
      <w:r w:rsidRPr="00736542">
        <w:rPr>
          <w:rFonts w:asciiTheme="majorBidi" w:hAnsiTheme="majorBidi" w:cstheme="majorBidi"/>
          <w:color w:val="000000" w:themeColor="text1"/>
          <w:sz w:val="18"/>
          <w:szCs w:val="18"/>
          <w:shd w:val="clear" w:color="auto" w:fill="FFFFFF"/>
        </w:rPr>
        <w:t>Department of Economics</w:t>
      </w:r>
      <w:r>
        <w:rPr>
          <w:rFonts w:asciiTheme="majorBidi" w:hAnsiTheme="majorBidi" w:cstheme="majorBidi"/>
          <w:color w:val="000000" w:themeColor="text1"/>
          <w:sz w:val="18"/>
          <w:szCs w:val="18"/>
          <w:shd w:val="clear" w:color="auto" w:fill="FFFFFF"/>
        </w:rPr>
        <w:t>,</w:t>
      </w:r>
      <w:r w:rsidRPr="008F342A">
        <w:rPr>
          <w:rFonts w:asciiTheme="majorBidi" w:hAnsiTheme="majorBidi" w:cstheme="majorBidi"/>
          <w:color w:val="000000" w:themeColor="text1"/>
          <w:sz w:val="18"/>
          <w:szCs w:val="18"/>
          <w:shd w:val="clear" w:color="auto" w:fill="FFFFFF"/>
        </w:rPr>
        <w:t xml:space="preserve"> </w:t>
      </w:r>
      <w:r w:rsidRPr="00EF7BE4">
        <w:rPr>
          <w:rFonts w:asciiTheme="majorBidi" w:hAnsiTheme="majorBidi" w:cstheme="majorBidi"/>
          <w:color w:val="000000" w:themeColor="text1"/>
          <w:sz w:val="18"/>
          <w:szCs w:val="18"/>
          <w:shd w:val="clear" w:color="auto" w:fill="FFFFFF"/>
        </w:rPr>
        <w:t>Faculty of Economics and Administrative sciences</w:t>
      </w:r>
      <w:r>
        <w:rPr>
          <w:rFonts w:asciiTheme="majorBidi" w:hAnsiTheme="majorBidi" w:cstheme="majorBidi"/>
          <w:color w:val="000000" w:themeColor="text1"/>
          <w:sz w:val="18"/>
          <w:szCs w:val="18"/>
          <w:shd w:val="clear" w:color="auto" w:fill="FFFFFF"/>
        </w:rPr>
        <w:t xml:space="preserve">, Ferdowsi University of Mashhad, Iran. E-mail: faribaosmani10@gmail.com. </w:t>
      </w:r>
    </w:p>
  </w:footnote>
  <w:footnote w:id="2">
    <w:p w14:paraId="7D635C9B" w14:textId="75A79041" w:rsidR="00EF7BE4" w:rsidRPr="00EF7BE4" w:rsidRDefault="00EF7BE4" w:rsidP="00EF7BE4">
      <w:pPr>
        <w:pStyle w:val="FootnoteText"/>
        <w:ind w:firstLine="284"/>
        <w:rPr>
          <w:rFonts w:asciiTheme="majorBidi" w:hAnsiTheme="majorBidi" w:cstheme="majorBidi"/>
          <w:color w:val="000000" w:themeColor="text1"/>
          <w:sz w:val="18"/>
          <w:szCs w:val="18"/>
          <w:shd w:val="clear" w:color="auto" w:fill="FFFFFF"/>
        </w:rPr>
      </w:pPr>
      <w:r w:rsidRPr="00EF7BE4">
        <w:rPr>
          <w:rStyle w:val="FootnoteReference"/>
          <w:rFonts w:ascii="Cambria Math" w:hAnsi="Cambria Math" w:cs="Cambria Math"/>
          <w:sz w:val="18"/>
          <w:szCs w:val="18"/>
        </w:rPr>
        <w:t>∗∗</w:t>
      </w:r>
      <w:r w:rsidRPr="00EF7BE4">
        <w:rPr>
          <w:rFonts w:asciiTheme="majorBidi" w:hAnsiTheme="majorBidi" w:cstheme="majorBidi"/>
          <w:sz w:val="18"/>
          <w:szCs w:val="18"/>
        </w:rPr>
        <w:t xml:space="preserve"> </w:t>
      </w:r>
      <w:r w:rsidRPr="00EF7BE4">
        <w:rPr>
          <w:rFonts w:asciiTheme="majorBidi" w:hAnsiTheme="majorBidi" w:cstheme="majorBidi"/>
          <w:color w:val="000000" w:themeColor="text1"/>
          <w:sz w:val="18"/>
          <w:szCs w:val="18"/>
          <w:shd w:val="clear" w:color="auto" w:fill="FFFFFF"/>
        </w:rPr>
        <w:t>Department of Economics</w:t>
      </w:r>
      <w:r>
        <w:rPr>
          <w:rFonts w:asciiTheme="majorBidi" w:hAnsiTheme="majorBidi" w:cstheme="majorBidi"/>
          <w:color w:val="000000" w:themeColor="text1"/>
          <w:sz w:val="18"/>
          <w:szCs w:val="18"/>
          <w:shd w:val="clear" w:color="auto" w:fill="FFFFFF"/>
        </w:rPr>
        <w:t xml:space="preserve">, </w:t>
      </w:r>
      <w:r w:rsidRPr="00736542">
        <w:rPr>
          <w:rFonts w:asciiTheme="majorBidi" w:hAnsiTheme="majorBidi" w:cstheme="majorBidi"/>
          <w:color w:val="000000" w:themeColor="text1"/>
          <w:sz w:val="18"/>
          <w:szCs w:val="18"/>
          <w:shd w:val="clear" w:color="auto" w:fill="FFFFFF"/>
        </w:rPr>
        <w:t>Faculty of Economics and Administrative sciences</w:t>
      </w:r>
      <w:r>
        <w:rPr>
          <w:rFonts w:asciiTheme="majorBidi" w:hAnsiTheme="majorBidi" w:cstheme="majorBidi"/>
          <w:color w:val="000000" w:themeColor="text1"/>
          <w:sz w:val="18"/>
          <w:szCs w:val="18"/>
          <w:shd w:val="clear" w:color="auto" w:fill="FFFFFF"/>
        </w:rPr>
        <w:t xml:space="preserve">, Ferdowsi University of Mashhad, Iran. Contact Number: +98 </w:t>
      </w:r>
      <w:r w:rsidRPr="00EF7BE4">
        <w:rPr>
          <w:rFonts w:asciiTheme="majorBidi" w:hAnsiTheme="majorBidi" w:cstheme="majorBidi"/>
          <w:color w:val="000000" w:themeColor="text1"/>
          <w:sz w:val="18"/>
          <w:szCs w:val="18"/>
          <w:shd w:val="clear" w:color="auto" w:fill="FFFFFF"/>
        </w:rPr>
        <w:t>3</w:t>
      </w:r>
      <w:r>
        <w:rPr>
          <w:rFonts w:asciiTheme="majorBidi" w:hAnsiTheme="majorBidi" w:cstheme="majorBidi"/>
          <w:color w:val="000000" w:themeColor="text1"/>
          <w:sz w:val="18"/>
          <w:szCs w:val="18"/>
          <w:shd w:val="clear" w:color="auto" w:fill="FFFFFF"/>
        </w:rPr>
        <w:t xml:space="preserve"> </w:t>
      </w:r>
      <w:r w:rsidRPr="00EF7BE4">
        <w:rPr>
          <w:rFonts w:asciiTheme="majorBidi" w:hAnsiTheme="majorBidi" w:cstheme="majorBidi"/>
          <w:color w:val="000000" w:themeColor="text1"/>
          <w:sz w:val="18"/>
          <w:szCs w:val="18"/>
          <w:shd w:val="clear" w:color="auto" w:fill="FFFFFF"/>
        </w:rPr>
        <w:t>880</w:t>
      </w:r>
      <w:r>
        <w:rPr>
          <w:rFonts w:asciiTheme="majorBidi" w:hAnsiTheme="majorBidi" w:cstheme="majorBidi"/>
          <w:color w:val="000000" w:themeColor="text1"/>
          <w:sz w:val="18"/>
          <w:szCs w:val="18"/>
          <w:shd w:val="clear" w:color="auto" w:fill="FFFFFF"/>
        </w:rPr>
        <w:t xml:space="preserve"> </w:t>
      </w:r>
      <w:r w:rsidRPr="00EF7BE4">
        <w:rPr>
          <w:rFonts w:asciiTheme="majorBidi" w:hAnsiTheme="majorBidi" w:cstheme="majorBidi"/>
          <w:color w:val="000000" w:themeColor="text1"/>
          <w:sz w:val="18"/>
          <w:szCs w:val="18"/>
          <w:shd w:val="clear" w:color="auto" w:fill="FFFFFF"/>
        </w:rPr>
        <w:t>5317</w:t>
      </w:r>
      <w:r>
        <w:rPr>
          <w:rFonts w:asciiTheme="majorBidi" w:hAnsiTheme="majorBidi" w:cstheme="majorBidi"/>
          <w:color w:val="000000" w:themeColor="text1"/>
          <w:sz w:val="18"/>
          <w:szCs w:val="18"/>
          <w:shd w:val="clear" w:color="auto" w:fill="FFFFFF"/>
        </w:rPr>
        <w:t xml:space="preserve">. E-mail: </w:t>
      </w:r>
      <w:r w:rsidRPr="00EF7BE4">
        <w:rPr>
          <w:rFonts w:asciiTheme="majorBidi" w:hAnsiTheme="majorBidi" w:cstheme="majorBidi"/>
          <w:color w:val="000000" w:themeColor="text1"/>
          <w:sz w:val="18"/>
          <w:szCs w:val="18"/>
          <w:shd w:val="clear" w:color="auto" w:fill="FFFFFF"/>
        </w:rPr>
        <w:t>homayounifar@um.ac.ir</w:t>
      </w:r>
      <w:r>
        <w:rPr>
          <w:rFonts w:asciiTheme="majorBidi" w:hAnsiTheme="majorBidi" w:cstheme="majorBidi"/>
          <w:color w:val="000000" w:themeColor="text1"/>
          <w:sz w:val="18"/>
          <w:szCs w:val="18"/>
          <w:shd w:val="clear" w:color="auto" w:fill="FFFFFF"/>
        </w:rPr>
        <w:t>.</w:t>
      </w:r>
    </w:p>
  </w:footnote>
  <w:footnote w:id="3">
    <w:p w14:paraId="3ABAF563" w14:textId="3B62DC0A" w:rsidR="00EF7BE4" w:rsidRDefault="00EF7BE4" w:rsidP="00EF7BE4">
      <w:pPr>
        <w:pStyle w:val="FootnoteText"/>
        <w:ind w:firstLine="284"/>
      </w:pPr>
      <w:r w:rsidRPr="00EF7BE4">
        <w:rPr>
          <w:rStyle w:val="FootnoteReference"/>
          <w:rFonts w:ascii="Cambria Math" w:hAnsi="Cambria Math" w:cs="Cambria Math"/>
          <w:sz w:val="18"/>
          <w:szCs w:val="18"/>
        </w:rPr>
        <w:t>∗∗∗</w:t>
      </w:r>
      <w:r>
        <w:t xml:space="preserve"> </w:t>
      </w:r>
      <w:r w:rsidRPr="00736542">
        <w:rPr>
          <w:rFonts w:asciiTheme="majorBidi" w:hAnsiTheme="majorBidi" w:cstheme="majorBidi"/>
          <w:color w:val="000000" w:themeColor="text1"/>
          <w:sz w:val="18"/>
          <w:szCs w:val="18"/>
          <w:shd w:val="clear" w:color="auto" w:fill="FFFFFF"/>
        </w:rPr>
        <w:t>Department of Economics</w:t>
      </w:r>
      <w:r>
        <w:rPr>
          <w:rFonts w:asciiTheme="majorBidi" w:hAnsiTheme="majorBidi" w:cstheme="majorBidi"/>
          <w:color w:val="000000" w:themeColor="text1"/>
          <w:sz w:val="18"/>
          <w:szCs w:val="18"/>
          <w:shd w:val="clear" w:color="auto" w:fill="FFFFFF"/>
        </w:rPr>
        <w:t>,</w:t>
      </w:r>
      <w:r w:rsidRPr="008F342A">
        <w:rPr>
          <w:rFonts w:asciiTheme="majorBidi" w:hAnsiTheme="majorBidi" w:cstheme="majorBidi"/>
          <w:color w:val="000000" w:themeColor="text1"/>
          <w:sz w:val="18"/>
          <w:szCs w:val="18"/>
          <w:shd w:val="clear" w:color="auto" w:fill="FFFFFF"/>
        </w:rPr>
        <w:t xml:space="preserve"> </w:t>
      </w:r>
      <w:r w:rsidRPr="00736542">
        <w:rPr>
          <w:rFonts w:asciiTheme="majorBidi" w:hAnsiTheme="majorBidi" w:cstheme="majorBidi"/>
          <w:color w:val="000000" w:themeColor="text1"/>
          <w:sz w:val="18"/>
          <w:szCs w:val="18"/>
          <w:shd w:val="clear" w:color="auto" w:fill="FFFFFF"/>
        </w:rPr>
        <w:t>Faculty of Economics and Administrative sciences</w:t>
      </w:r>
      <w:r>
        <w:rPr>
          <w:rFonts w:asciiTheme="majorBidi" w:hAnsiTheme="majorBidi" w:cstheme="majorBidi"/>
          <w:color w:val="000000" w:themeColor="text1"/>
          <w:sz w:val="18"/>
          <w:szCs w:val="18"/>
          <w:shd w:val="clear" w:color="auto" w:fill="FFFFFF"/>
        </w:rPr>
        <w:t>, Ferdowsi University of Mashhad, Iran. E-mail: javad.gorjipor@gmail.com.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8AA"/>
    <w:multiLevelType w:val="hybridMultilevel"/>
    <w:tmpl w:val="1D80FDF4"/>
    <w:lvl w:ilvl="0" w:tplc="249A6F16">
      <w:start w:val="1"/>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98081E"/>
    <w:multiLevelType w:val="hybridMultilevel"/>
    <w:tmpl w:val="25860D08"/>
    <w:lvl w:ilvl="0" w:tplc="37E01F68">
      <w:start w:val="1"/>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FA630D"/>
    <w:multiLevelType w:val="hybridMultilevel"/>
    <w:tmpl w:val="3BFE13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07059"/>
    <w:multiLevelType w:val="hybridMultilevel"/>
    <w:tmpl w:val="494C7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483088"/>
    <w:multiLevelType w:val="hybridMultilevel"/>
    <w:tmpl w:val="1FF0BF46"/>
    <w:lvl w:ilvl="0" w:tplc="4E1C1934">
      <w:start w:val="1"/>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3FB3FA5"/>
    <w:multiLevelType w:val="hybridMultilevel"/>
    <w:tmpl w:val="DC5C73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8279C8"/>
    <w:multiLevelType w:val="hybridMultilevel"/>
    <w:tmpl w:val="590EF3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A335087"/>
    <w:multiLevelType w:val="multilevel"/>
    <w:tmpl w:val="8C66CA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71E400D"/>
    <w:multiLevelType w:val="multilevel"/>
    <w:tmpl w:val="2C2039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E2F5DE6"/>
    <w:multiLevelType w:val="hybridMultilevel"/>
    <w:tmpl w:val="2C180830"/>
    <w:lvl w:ilvl="0" w:tplc="08160005">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hint="default"/>
      </w:rPr>
    </w:lvl>
    <w:lvl w:ilvl="8" w:tplc="08160005" w:tentative="1">
      <w:start w:val="1"/>
      <w:numFmt w:val="bullet"/>
      <w:lvlText w:val=""/>
      <w:lvlJc w:val="left"/>
      <w:pPr>
        <w:ind w:left="7200" w:hanging="360"/>
      </w:pPr>
      <w:rPr>
        <w:rFonts w:ascii="Wingdings" w:hAnsi="Wingdings" w:hint="default"/>
      </w:rPr>
    </w:lvl>
  </w:abstractNum>
  <w:num w:numId="1" w16cid:durableId="1204950970">
    <w:abstractNumId w:val="7"/>
  </w:num>
  <w:num w:numId="2" w16cid:durableId="1466309281">
    <w:abstractNumId w:val="5"/>
  </w:num>
  <w:num w:numId="3" w16cid:durableId="849879899">
    <w:abstractNumId w:val="9"/>
  </w:num>
  <w:num w:numId="4" w16cid:durableId="992412936">
    <w:abstractNumId w:val="3"/>
  </w:num>
  <w:num w:numId="5" w16cid:durableId="423035140">
    <w:abstractNumId w:val="2"/>
  </w:num>
  <w:num w:numId="6" w16cid:durableId="1861971884">
    <w:abstractNumId w:val="8"/>
  </w:num>
  <w:num w:numId="7" w16cid:durableId="1530146823">
    <w:abstractNumId w:val="6"/>
  </w:num>
  <w:num w:numId="8" w16cid:durableId="774978320">
    <w:abstractNumId w:val="1"/>
  </w:num>
  <w:num w:numId="9" w16cid:durableId="717052690">
    <w:abstractNumId w:val="4"/>
  </w:num>
  <w:num w:numId="10" w16cid:durableId="1161384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1NDa0MDE0MjIxMrVU0lEKTi0uzszPAykwqQUAAh+M0ywAAAA="/>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ww0dtpfo2azsrefd96pr92sv09fxrfa2vpr&quot;&gt;EndNote. Kourosh&lt;record-ids&gt;&lt;item&gt;626&lt;/item&gt;&lt;/record-ids&gt;&lt;/item&gt;&lt;/Libraries&gt;"/>
  </w:docVars>
  <w:rsids>
    <w:rsidRoot w:val="0071252F"/>
    <w:rsid w:val="00003527"/>
    <w:rsid w:val="00004E1E"/>
    <w:rsid w:val="00006046"/>
    <w:rsid w:val="0001182D"/>
    <w:rsid w:val="00014229"/>
    <w:rsid w:val="00017374"/>
    <w:rsid w:val="00021F38"/>
    <w:rsid w:val="00022946"/>
    <w:rsid w:val="00023382"/>
    <w:rsid w:val="0002668E"/>
    <w:rsid w:val="00026EF2"/>
    <w:rsid w:val="000307B2"/>
    <w:rsid w:val="000340B7"/>
    <w:rsid w:val="00034594"/>
    <w:rsid w:val="00035363"/>
    <w:rsid w:val="0003782F"/>
    <w:rsid w:val="00037E3D"/>
    <w:rsid w:val="00043607"/>
    <w:rsid w:val="00043FC6"/>
    <w:rsid w:val="00047003"/>
    <w:rsid w:val="00047A1E"/>
    <w:rsid w:val="000540E9"/>
    <w:rsid w:val="00055D0C"/>
    <w:rsid w:val="00056F9E"/>
    <w:rsid w:val="00057D64"/>
    <w:rsid w:val="000607CA"/>
    <w:rsid w:val="00060CD9"/>
    <w:rsid w:val="00063C89"/>
    <w:rsid w:val="000670F9"/>
    <w:rsid w:val="00072C0C"/>
    <w:rsid w:val="000735B9"/>
    <w:rsid w:val="00073CE3"/>
    <w:rsid w:val="0008004E"/>
    <w:rsid w:val="00081B44"/>
    <w:rsid w:val="00081E17"/>
    <w:rsid w:val="000829B8"/>
    <w:rsid w:val="00084E84"/>
    <w:rsid w:val="00085E18"/>
    <w:rsid w:val="00086A36"/>
    <w:rsid w:val="0008766A"/>
    <w:rsid w:val="000901A3"/>
    <w:rsid w:val="00091EB7"/>
    <w:rsid w:val="00092504"/>
    <w:rsid w:val="00092A94"/>
    <w:rsid w:val="00093033"/>
    <w:rsid w:val="00095CB0"/>
    <w:rsid w:val="00096F6A"/>
    <w:rsid w:val="0009703D"/>
    <w:rsid w:val="000A14A1"/>
    <w:rsid w:val="000A2D3C"/>
    <w:rsid w:val="000A3299"/>
    <w:rsid w:val="000A3506"/>
    <w:rsid w:val="000A4B60"/>
    <w:rsid w:val="000A4F21"/>
    <w:rsid w:val="000A5C94"/>
    <w:rsid w:val="000A74DC"/>
    <w:rsid w:val="000B05B9"/>
    <w:rsid w:val="000B2888"/>
    <w:rsid w:val="000B3413"/>
    <w:rsid w:val="000B56C2"/>
    <w:rsid w:val="000B5DC5"/>
    <w:rsid w:val="000B6AEE"/>
    <w:rsid w:val="000B7067"/>
    <w:rsid w:val="000B7281"/>
    <w:rsid w:val="000C381F"/>
    <w:rsid w:val="000C473E"/>
    <w:rsid w:val="000C4B0D"/>
    <w:rsid w:val="000C77C0"/>
    <w:rsid w:val="000C782A"/>
    <w:rsid w:val="000D143F"/>
    <w:rsid w:val="000D3220"/>
    <w:rsid w:val="000D3C21"/>
    <w:rsid w:val="000D66BB"/>
    <w:rsid w:val="000D6721"/>
    <w:rsid w:val="000E3E67"/>
    <w:rsid w:val="000E6BD8"/>
    <w:rsid w:val="000F0946"/>
    <w:rsid w:val="000F4EBB"/>
    <w:rsid w:val="001052A1"/>
    <w:rsid w:val="001055FC"/>
    <w:rsid w:val="00105C34"/>
    <w:rsid w:val="00105F0D"/>
    <w:rsid w:val="00107B28"/>
    <w:rsid w:val="00107D13"/>
    <w:rsid w:val="0012305C"/>
    <w:rsid w:val="001254BD"/>
    <w:rsid w:val="00127725"/>
    <w:rsid w:val="00127A74"/>
    <w:rsid w:val="00134962"/>
    <w:rsid w:val="00134A7C"/>
    <w:rsid w:val="00140A1C"/>
    <w:rsid w:val="001414EC"/>
    <w:rsid w:val="00142D16"/>
    <w:rsid w:val="0014395B"/>
    <w:rsid w:val="001440C3"/>
    <w:rsid w:val="0015409F"/>
    <w:rsid w:val="00155D55"/>
    <w:rsid w:val="00156AEA"/>
    <w:rsid w:val="001602A4"/>
    <w:rsid w:val="00161FBF"/>
    <w:rsid w:val="00163BAE"/>
    <w:rsid w:val="00163C7D"/>
    <w:rsid w:val="001643A1"/>
    <w:rsid w:val="00164B76"/>
    <w:rsid w:val="00173B7B"/>
    <w:rsid w:val="00174704"/>
    <w:rsid w:val="001755E4"/>
    <w:rsid w:val="00175B13"/>
    <w:rsid w:val="00177166"/>
    <w:rsid w:val="001831F0"/>
    <w:rsid w:val="00184212"/>
    <w:rsid w:val="00185D28"/>
    <w:rsid w:val="00192846"/>
    <w:rsid w:val="00194581"/>
    <w:rsid w:val="0019640B"/>
    <w:rsid w:val="001A1AD5"/>
    <w:rsid w:val="001A2129"/>
    <w:rsid w:val="001A3E8A"/>
    <w:rsid w:val="001A5B23"/>
    <w:rsid w:val="001A5EA8"/>
    <w:rsid w:val="001A65B1"/>
    <w:rsid w:val="001A753F"/>
    <w:rsid w:val="001B1E51"/>
    <w:rsid w:val="001B5194"/>
    <w:rsid w:val="001C1A0F"/>
    <w:rsid w:val="001C2C4A"/>
    <w:rsid w:val="001D1BCC"/>
    <w:rsid w:val="001E5187"/>
    <w:rsid w:val="001E5ADF"/>
    <w:rsid w:val="001E6281"/>
    <w:rsid w:val="001F5F7E"/>
    <w:rsid w:val="001F7A06"/>
    <w:rsid w:val="00202513"/>
    <w:rsid w:val="00202590"/>
    <w:rsid w:val="00202832"/>
    <w:rsid w:val="002029ED"/>
    <w:rsid w:val="00203809"/>
    <w:rsid w:val="002053F6"/>
    <w:rsid w:val="00207B69"/>
    <w:rsid w:val="00210C4C"/>
    <w:rsid w:val="00211449"/>
    <w:rsid w:val="00213959"/>
    <w:rsid w:val="00215900"/>
    <w:rsid w:val="002172DA"/>
    <w:rsid w:val="00217C25"/>
    <w:rsid w:val="0022015A"/>
    <w:rsid w:val="00220287"/>
    <w:rsid w:val="00221DCE"/>
    <w:rsid w:val="00221F3C"/>
    <w:rsid w:val="0022320A"/>
    <w:rsid w:val="002238CF"/>
    <w:rsid w:val="00224FB4"/>
    <w:rsid w:val="00226C52"/>
    <w:rsid w:val="0023229F"/>
    <w:rsid w:val="00232FE4"/>
    <w:rsid w:val="00236043"/>
    <w:rsid w:val="0024753B"/>
    <w:rsid w:val="002525D9"/>
    <w:rsid w:val="00255739"/>
    <w:rsid w:val="0026098E"/>
    <w:rsid w:val="002662D6"/>
    <w:rsid w:val="00273DB0"/>
    <w:rsid w:val="00274F49"/>
    <w:rsid w:val="0028074E"/>
    <w:rsid w:val="00280759"/>
    <w:rsid w:val="00282A5F"/>
    <w:rsid w:val="002867FB"/>
    <w:rsid w:val="002942B0"/>
    <w:rsid w:val="00294C3C"/>
    <w:rsid w:val="00295008"/>
    <w:rsid w:val="00297C82"/>
    <w:rsid w:val="002A2E94"/>
    <w:rsid w:val="002A3D09"/>
    <w:rsid w:val="002A4E74"/>
    <w:rsid w:val="002A71B0"/>
    <w:rsid w:val="002B39DC"/>
    <w:rsid w:val="002B4A6F"/>
    <w:rsid w:val="002B4D43"/>
    <w:rsid w:val="002B5E0E"/>
    <w:rsid w:val="002B7175"/>
    <w:rsid w:val="002C0A68"/>
    <w:rsid w:val="002C0CC4"/>
    <w:rsid w:val="002C1A6B"/>
    <w:rsid w:val="002C6914"/>
    <w:rsid w:val="002C6FE9"/>
    <w:rsid w:val="002C7CB0"/>
    <w:rsid w:val="002D10BC"/>
    <w:rsid w:val="002D14C9"/>
    <w:rsid w:val="002D170F"/>
    <w:rsid w:val="002D5C42"/>
    <w:rsid w:val="002E0920"/>
    <w:rsid w:val="002E4BF3"/>
    <w:rsid w:val="002E62CF"/>
    <w:rsid w:val="002E7BBD"/>
    <w:rsid w:val="002F06F1"/>
    <w:rsid w:val="002F7DFC"/>
    <w:rsid w:val="00300FBB"/>
    <w:rsid w:val="00301112"/>
    <w:rsid w:val="00301789"/>
    <w:rsid w:val="0030444C"/>
    <w:rsid w:val="003065A0"/>
    <w:rsid w:val="0030781D"/>
    <w:rsid w:val="003109A8"/>
    <w:rsid w:val="00311C23"/>
    <w:rsid w:val="0031225A"/>
    <w:rsid w:val="003143FA"/>
    <w:rsid w:val="00323F0B"/>
    <w:rsid w:val="00326733"/>
    <w:rsid w:val="00330C48"/>
    <w:rsid w:val="00333225"/>
    <w:rsid w:val="003342AB"/>
    <w:rsid w:val="0034295E"/>
    <w:rsid w:val="003466DE"/>
    <w:rsid w:val="00352884"/>
    <w:rsid w:val="0035351E"/>
    <w:rsid w:val="00353755"/>
    <w:rsid w:val="00353866"/>
    <w:rsid w:val="003538FE"/>
    <w:rsid w:val="00355C62"/>
    <w:rsid w:val="00360B60"/>
    <w:rsid w:val="00361F4F"/>
    <w:rsid w:val="00366415"/>
    <w:rsid w:val="00366D13"/>
    <w:rsid w:val="00371F32"/>
    <w:rsid w:val="00372CE1"/>
    <w:rsid w:val="00372EF5"/>
    <w:rsid w:val="0038070D"/>
    <w:rsid w:val="003903FC"/>
    <w:rsid w:val="00392DEC"/>
    <w:rsid w:val="003953A0"/>
    <w:rsid w:val="0039625E"/>
    <w:rsid w:val="00396C26"/>
    <w:rsid w:val="003973A6"/>
    <w:rsid w:val="0039760F"/>
    <w:rsid w:val="00397810"/>
    <w:rsid w:val="003A163E"/>
    <w:rsid w:val="003B0066"/>
    <w:rsid w:val="003B06D3"/>
    <w:rsid w:val="003B1C46"/>
    <w:rsid w:val="003C215C"/>
    <w:rsid w:val="003C6CB2"/>
    <w:rsid w:val="003C76F6"/>
    <w:rsid w:val="003D6164"/>
    <w:rsid w:val="003D6613"/>
    <w:rsid w:val="003D6E7B"/>
    <w:rsid w:val="003D70EF"/>
    <w:rsid w:val="003E113E"/>
    <w:rsid w:val="003E205B"/>
    <w:rsid w:val="003E27B6"/>
    <w:rsid w:val="003E303C"/>
    <w:rsid w:val="003E5705"/>
    <w:rsid w:val="003E5B6D"/>
    <w:rsid w:val="003E670B"/>
    <w:rsid w:val="003E6BB8"/>
    <w:rsid w:val="003F3517"/>
    <w:rsid w:val="003F6D44"/>
    <w:rsid w:val="003F719C"/>
    <w:rsid w:val="003F79C8"/>
    <w:rsid w:val="00400959"/>
    <w:rsid w:val="00400EC9"/>
    <w:rsid w:val="004033ED"/>
    <w:rsid w:val="004047CD"/>
    <w:rsid w:val="00405056"/>
    <w:rsid w:val="004058E6"/>
    <w:rsid w:val="00405B7E"/>
    <w:rsid w:val="00405DA9"/>
    <w:rsid w:val="00410A0E"/>
    <w:rsid w:val="004123A2"/>
    <w:rsid w:val="00417960"/>
    <w:rsid w:val="00420344"/>
    <w:rsid w:val="004207F6"/>
    <w:rsid w:val="0043129A"/>
    <w:rsid w:val="00432B2C"/>
    <w:rsid w:val="00433FFB"/>
    <w:rsid w:val="00436630"/>
    <w:rsid w:val="00437971"/>
    <w:rsid w:val="00437D2E"/>
    <w:rsid w:val="00441DFA"/>
    <w:rsid w:val="00441FE3"/>
    <w:rsid w:val="0044438E"/>
    <w:rsid w:val="00450906"/>
    <w:rsid w:val="00451BD6"/>
    <w:rsid w:val="00452059"/>
    <w:rsid w:val="00452EE2"/>
    <w:rsid w:val="00457BC1"/>
    <w:rsid w:val="004617C8"/>
    <w:rsid w:val="00461A8E"/>
    <w:rsid w:val="0046319E"/>
    <w:rsid w:val="00464010"/>
    <w:rsid w:val="00464355"/>
    <w:rsid w:val="00465301"/>
    <w:rsid w:val="004671A7"/>
    <w:rsid w:val="00473344"/>
    <w:rsid w:val="00476215"/>
    <w:rsid w:val="004764C4"/>
    <w:rsid w:val="00476F16"/>
    <w:rsid w:val="00484761"/>
    <w:rsid w:val="00484CB1"/>
    <w:rsid w:val="00486E53"/>
    <w:rsid w:val="00491BA0"/>
    <w:rsid w:val="004A02E0"/>
    <w:rsid w:val="004A32F8"/>
    <w:rsid w:val="004A5068"/>
    <w:rsid w:val="004A56C8"/>
    <w:rsid w:val="004B461B"/>
    <w:rsid w:val="004B4A16"/>
    <w:rsid w:val="004B7372"/>
    <w:rsid w:val="004C012B"/>
    <w:rsid w:val="004C137E"/>
    <w:rsid w:val="004C21BC"/>
    <w:rsid w:val="004C3ADE"/>
    <w:rsid w:val="004C7202"/>
    <w:rsid w:val="004D0E99"/>
    <w:rsid w:val="004D10AD"/>
    <w:rsid w:val="004D2D92"/>
    <w:rsid w:val="004D77AE"/>
    <w:rsid w:val="004E0174"/>
    <w:rsid w:val="004E13D4"/>
    <w:rsid w:val="004E2C55"/>
    <w:rsid w:val="004E4D33"/>
    <w:rsid w:val="004E4E24"/>
    <w:rsid w:val="004E75D2"/>
    <w:rsid w:val="004F1226"/>
    <w:rsid w:val="004F169D"/>
    <w:rsid w:val="004F3974"/>
    <w:rsid w:val="004F5C32"/>
    <w:rsid w:val="004F7C6E"/>
    <w:rsid w:val="00504824"/>
    <w:rsid w:val="0050636A"/>
    <w:rsid w:val="00506ECE"/>
    <w:rsid w:val="00511ACD"/>
    <w:rsid w:val="00512811"/>
    <w:rsid w:val="005131A9"/>
    <w:rsid w:val="0051385E"/>
    <w:rsid w:val="00515C08"/>
    <w:rsid w:val="00515DF6"/>
    <w:rsid w:val="00521821"/>
    <w:rsid w:val="00524786"/>
    <w:rsid w:val="0052603A"/>
    <w:rsid w:val="00526C81"/>
    <w:rsid w:val="00540F4E"/>
    <w:rsid w:val="00543792"/>
    <w:rsid w:val="005446D6"/>
    <w:rsid w:val="0054488F"/>
    <w:rsid w:val="00550778"/>
    <w:rsid w:val="00552AFF"/>
    <w:rsid w:val="00553E65"/>
    <w:rsid w:val="0055427A"/>
    <w:rsid w:val="00556975"/>
    <w:rsid w:val="00557416"/>
    <w:rsid w:val="00562375"/>
    <w:rsid w:val="00562517"/>
    <w:rsid w:val="00565120"/>
    <w:rsid w:val="00565E51"/>
    <w:rsid w:val="00565F0C"/>
    <w:rsid w:val="005702E4"/>
    <w:rsid w:val="005737CD"/>
    <w:rsid w:val="00573A9B"/>
    <w:rsid w:val="00575D26"/>
    <w:rsid w:val="00575F49"/>
    <w:rsid w:val="0058127C"/>
    <w:rsid w:val="0058147E"/>
    <w:rsid w:val="00582888"/>
    <w:rsid w:val="00583CA3"/>
    <w:rsid w:val="00586191"/>
    <w:rsid w:val="0058759B"/>
    <w:rsid w:val="005952A3"/>
    <w:rsid w:val="005978EF"/>
    <w:rsid w:val="005A0D1C"/>
    <w:rsid w:val="005A7A59"/>
    <w:rsid w:val="005B2896"/>
    <w:rsid w:val="005B3BE3"/>
    <w:rsid w:val="005B65E2"/>
    <w:rsid w:val="005B75ED"/>
    <w:rsid w:val="005C1612"/>
    <w:rsid w:val="005C45DD"/>
    <w:rsid w:val="005D0C40"/>
    <w:rsid w:val="005D14C0"/>
    <w:rsid w:val="005D14E2"/>
    <w:rsid w:val="005D5557"/>
    <w:rsid w:val="005D5A1D"/>
    <w:rsid w:val="005D60EA"/>
    <w:rsid w:val="005E1197"/>
    <w:rsid w:val="005E3DA5"/>
    <w:rsid w:val="005E5564"/>
    <w:rsid w:val="005F06F1"/>
    <w:rsid w:val="005F20BE"/>
    <w:rsid w:val="005F4B65"/>
    <w:rsid w:val="005F6B49"/>
    <w:rsid w:val="006040A5"/>
    <w:rsid w:val="006063AC"/>
    <w:rsid w:val="00606506"/>
    <w:rsid w:val="00613035"/>
    <w:rsid w:val="0061512C"/>
    <w:rsid w:val="00615857"/>
    <w:rsid w:val="006212F5"/>
    <w:rsid w:val="006223D7"/>
    <w:rsid w:val="006237AB"/>
    <w:rsid w:val="00627144"/>
    <w:rsid w:val="00627D95"/>
    <w:rsid w:val="00630337"/>
    <w:rsid w:val="00631859"/>
    <w:rsid w:val="00635E7F"/>
    <w:rsid w:val="00651FF3"/>
    <w:rsid w:val="00653F6C"/>
    <w:rsid w:val="0065681D"/>
    <w:rsid w:val="006656F1"/>
    <w:rsid w:val="00665E4D"/>
    <w:rsid w:val="006830A5"/>
    <w:rsid w:val="00683747"/>
    <w:rsid w:val="00684B5C"/>
    <w:rsid w:val="0068602A"/>
    <w:rsid w:val="006874FC"/>
    <w:rsid w:val="00695AC2"/>
    <w:rsid w:val="0069776D"/>
    <w:rsid w:val="006A0ED9"/>
    <w:rsid w:val="006A22DF"/>
    <w:rsid w:val="006A2695"/>
    <w:rsid w:val="006A5C17"/>
    <w:rsid w:val="006A62F1"/>
    <w:rsid w:val="006A7F1A"/>
    <w:rsid w:val="006B14D4"/>
    <w:rsid w:val="006B183E"/>
    <w:rsid w:val="006B1EDB"/>
    <w:rsid w:val="006B37D2"/>
    <w:rsid w:val="006B6618"/>
    <w:rsid w:val="006C289E"/>
    <w:rsid w:val="006C6E22"/>
    <w:rsid w:val="006D080B"/>
    <w:rsid w:val="006D1FF5"/>
    <w:rsid w:val="006D29F8"/>
    <w:rsid w:val="006D2EBD"/>
    <w:rsid w:val="006D3801"/>
    <w:rsid w:val="006D4807"/>
    <w:rsid w:val="006D5A75"/>
    <w:rsid w:val="006D6B38"/>
    <w:rsid w:val="006E1252"/>
    <w:rsid w:val="006E3EC8"/>
    <w:rsid w:val="006E4281"/>
    <w:rsid w:val="006E6E9E"/>
    <w:rsid w:val="006F0692"/>
    <w:rsid w:val="006F11B9"/>
    <w:rsid w:val="006F25AD"/>
    <w:rsid w:val="006F34A9"/>
    <w:rsid w:val="006F4550"/>
    <w:rsid w:val="006F4ECA"/>
    <w:rsid w:val="006F69C7"/>
    <w:rsid w:val="00703DE7"/>
    <w:rsid w:val="00706F40"/>
    <w:rsid w:val="0071252F"/>
    <w:rsid w:val="0072166A"/>
    <w:rsid w:val="007266CB"/>
    <w:rsid w:val="00727914"/>
    <w:rsid w:val="00727E1A"/>
    <w:rsid w:val="00730AE0"/>
    <w:rsid w:val="00731F55"/>
    <w:rsid w:val="007321A7"/>
    <w:rsid w:val="0073501E"/>
    <w:rsid w:val="007368DC"/>
    <w:rsid w:val="00751A1B"/>
    <w:rsid w:val="0075285D"/>
    <w:rsid w:val="00761F34"/>
    <w:rsid w:val="007646ED"/>
    <w:rsid w:val="007676EF"/>
    <w:rsid w:val="0077018F"/>
    <w:rsid w:val="00771D9E"/>
    <w:rsid w:val="00773285"/>
    <w:rsid w:val="0077398C"/>
    <w:rsid w:val="00774283"/>
    <w:rsid w:val="007748B0"/>
    <w:rsid w:val="0077711D"/>
    <w:rsid w:val="00781F4C"/>
    <w:rsid w:val="0078260A"/>
    <w:rsid w:val="00782BA2"/>
    <w:rsid w:val="00786671"/>
    <w:rsid w:val="007929AB"/>
    <w:rsid w:val="00794C2F"/>
    <w:rsid w:val="00795DFD"/>
    <w:rsid w:val="007965BA"/>
    <w:rsid w:val="007967C1"/>
    <w:rsid w:val="007A3E79"/>
    <w:rsid w:val="007A51C2"/>
    <w:rsid w:val="007A58EA"/>
    <w:rsid w:val="007A7F87"/>
    <w:rsid w:val="007B372C"/>
    <w:rsid w:val="007B6524"/>
    <w:rsid w:val="007C2153"/>
    <w:rsid w:val="007C2A5C"/>
    <w:rsid w:val="007C4D1B"/>
    <w:rsid w:val="007C586F"/>
    <w:rsid w:val="007D0E74"/>
    <w:rsid w:val="007D26A0"/>
    <w:rsid w:val="007D33D4"/>
    <w:rsid w:val="007D4545"/>
    <w:rsid w:val="007D5064"/>
    <w:rsid w:val="007D506E"/>
    <w:rsid w:val="007D697C"/>
    <w:rsid w:val="007E7212"/>
    <w:rsid w:val="007F1D37"/>
    <w:rsid w:val="007F3B97"/>
    <w:rsid w:val="00800784"/>
    <w:rsid w:val="00803E29"/>
    <w:rsid w:val="0081335C"/>
    <w:rsid w:val="00813D97"/>
    <w:rsid w:val="00813DA9"/>
    <w:rsid w:val="008143B4"/>
    <w:rsid w:val="00814DF5"/>
    <w:rsid w:val="00815749"/>
    <w:rsid w:val="00825DFF"/>
    <w:rsid w:val="00827C1E"/>
    <w:rsid w:val="00833C2E"/>
    <w:rsid w:val="008357C1"/>
    <w:rsid w:val="00835C3E"/>
    <w:rsid w:val="00837CFE"/>
    <w:rsid w:val="00843098"/>
    <w:rsid w:val="0084540A"/>
    <w:rsid w:val="00845794"/>
    <w:rsid w:val="008517E4"/>
    <w:rsid w:val="0085224C"/>
    <w:rsid w:val="00862885"/>
    <w:rsid w:val="0087131C"/>
    <w:rsid w:val="00885B3B"/>
    <w:rsid w:val="0088619B"/>
    <w:rsid w:val="008868E7"/>
    <w:rsid w:val="00887B21"/>
    <w:rsid w:val="00892020"/>
    <w:rsid w:val="00892226"/>
    <w:rsid w:val="00892969"/>
    <w:rsid w:val="00893E57"/>
    <w:rsid w:val="00894F93"/>
    <w:rsid w:val="00895123"/>
    <w:rsid w:val="00896035"/>
    <w:rsid w:val="008963C0"/>
    <w:rsid w:val="008978F6"/>
    <w:rsid w:val="008A05E6"/>
    <w:rsid w:val="008A200F"/>
    <w:rsid w:val="008A6B2A"/>
    <w:rsid w:val="008A6DD2"/>
    <w:rsid w:val="008B0B94"/>
    <w:rsid w:val="008B204B"/>
    <w:rsid w:val="008B38A3"/>
    <w:rsid w:val="008C1EAA"/>
    <w:rsid w:val="008C220E"/>
    <w:rsid w:val="008C41BD"/>
    <w:rsid w:val="008C4B7D"/>
    <w:rsid w:val="008D2A98"/>
    <w:rsid w:val="008D2BBD"/>
    <w:rsid w:val="008D303B"/>
    <w:rsid w:val="008D74A2"/>
    <w:rsid w:val="008E08A5"/>
    <w:rsid w:val="008E1AEA"/>
    <w:rsid w:val="008E3036"/>
    <w:rsid w:val="008E4DFB"/>
    <w:rsid w:val="008E77F7"/>
    <w:rsid w:val="008E7A4E"/>
    <w:rsid w:val="008F342A"/>
    <w:rsid w:val="009003D6"/>
    <w:rsid w:val="009006C7"/>
    <w:rsid w:val="00901068"/>
    <w:rsid w:val="00902B94"/>
    <w:rsid w:val="009034FF"/>
    <w:rsid w:val="0090400C"/>
    <w:rsid w:val="009060B5"/>
    <w:rsid w:val="00906D9A"/>
    <w:rsid w:val="00907A28"/>
    <w:rsid w:val="00912EEC"/>
    <w:rsid w:val="00913633"/>
    <w:rsid w:val="009144BA"/>
    <w:rsid w:val="009164A1"/>
    <w:rsid w:val="0091707F"/>
    <w:rsid w:val="00923AE2"/>
    <w:rsid w:val="00927062"/>
    <w:rsid w:val="00931C91"/>
    <w:rsid w:val="00933BB7"/>
    <w:rsid w:val="009360B4"/>
    <w:rsid w:val="00940C83"/>
    <w:rsid w:val="009422AF"/>
    <w:rsid w:val="009442D9"/>
    <w:rsid w:val="00946E27"/>
    <w:rsid w:val="0094715E"/>
    <w:rsid w:val="009561C4"/>
    <w:rsid w:val="00956A06"/>
    <w:rsid w:val="00960B22"/>
    <w:rsid w:val="00960B71"/>
    <w:rsid w:val="009638B1"/>
    <w:rsid w:val="00963EBE"/>
    <w:rsid w:val="009731E0"/>
    <w:rsid w:val="009758FA"/>
    <w:rsid w:val="00980D99"/>
    <w:rsid w:val="009825E4"/>
    <w:rsid w:val="00985581"/>
    <w:rsid w:val="00987179"/>
    <w:rsid w:val="00996522"/>
    <w:rsid w:val="00997894"/>
    <w:rsid w:val="009A02A0"/>
    <w:rsid w:val="009A04F4"/>
    <w:rsid w:val="009A2ACA"/>
    <w:rsid w:val="009A5719"/>
    <w:rsid w:val="009A5DC4"/>
    <w:rsid w:val="009A5F78"/>
    <w:rsid w:val="009B0ABD"/>
    <w:rsid w:val="009B14A1"/>
    <w:rsid w:val="009B47B7"/>
    <w:rsid w:val="009B7BBE"/>
    <w:rsid w:val="009C25E7"/>
    <w:rsid w:val="009C5200"/>
    <w:rsid w:val="009C7BA5"/>
    <w:rsid w:val="009D178B"/>
    <w:rsid w:val="009D3CBF"/>
    <w:rsid w:val="009D639C"/>
    <w:rsid w:val="009E3274"/>
    <w:rsid w:val="009E5558"/>
    <w:rsid w:val="009F3B94"/>
    <w:rsid w:val="00A0139E"/>
    <w:rsid w:val="00A02E57"/>
    <w:rsid w:val="00A03061"/>
    <w:rsid w:val="00A05869"/>
    <w:rsid w:val="00A05D67"/>
    <w:rsid w:val="00A07291"/>
    <w:rsid w:val="00A1202D"/>
    <w:rsid w:val="00A12518"/>
    <w:rsid w:val="00A14934"/>
    <w:rsid w:val="00A1535F"/>
    <w:rsid w:val="00A156BD"/>
    <w:rsid w:val="00A208D0"/>
    <w:rsid w:val="00A20AAA"/>
    <w:rsid w:val="00A22914"/>
    <w:rsid w:val="00A234A9"/>
    <w:rsid w:val="00A23F5A"/>
    <w:rsid w:val="00A2422B"/>
    <w:rsid w:val="00A2620B"/>
    <w:rsid w:val="00A30FD7"/>
    <w:rsid w:val="00A30FDA"/>
    <w:rsid w:val="00A31C1C"/>
    <w:rsid w:val="00A33862"/>
    <w:rsid w:val="00A3389A"/>
    <w:rsid w:val="00A44275"/>
    <w:rsid w:val="00A44D2F"/>
    <w:rsid w:val="00A46199"/>
    <w:rsid w:val="00A47FEB"/>
    <w:rsid w:val="00A551DF"/>
    <w:rsid w:val="00A657A6"/>
    <w:rsid w:val="00A65E89"/>
    <w:rsid w:val="00A67B52"/>
    <w:rsid w:val="00A71AA0"/>
    <w:rsid w:val="00A74880"/>
    <w:rsid w:val="00A74DA6"/>
    <w:rsid w:val="00A75AA5"/>
    <w:rsid w:val="00A84492"/>
    <w:rsid w:val="00A8664E"/>
    <w:rsid w:val="00A867BA"/>
    <w:rsid w:val="00A91B7F"/>
    <w:rsid w:val="00A92C7A"/>
    <w:rsid w:val="00A9302C"/>
    <w:rsid w:val="00A97488"/>
    <w:rsid w:val="00AA04BB"/>
    <w:rsid w:val="00AA04D8"/>
    <w:rsid w:val="00AA13AE"/>
    <w:rsid w:val="00AA55B1"/>
    <w:rsid w:val="00AA5FB9"/>
    <w:rsid w:val="00AA739F"/>
    <w:rsid w:val="00AA754E"/>
    <w:rsid w:val="00AA78C9"/>
    <w:rsid w:val="00AB6A80"/>
    <w:rsid w:val="00AC04B7"/>
    <w:rsid w:val="00AC131E"/>
    <w:rsid w:val="00AC2941"/>
    <w:rsid w:val="00AC46CF"/>
    <w:rsid w:val="00AD0DED"/>
    <w:rsid w:val="00AD1D53"/>
    <w:rsid w:val="00AD2687"/>
    <w:rsid w:val="00AD39C5"/>
    <w:rsid w:val="00AD41E6"/>
    <w:rsid w:val="00AD47A3"/>
    <w:rsid w:val="00AD6641"/>
    <w:rsid w:val="00AE035C"/>
    <w:rsid w:val="00AE64DF"/>
    <w:rsid w:val="00AE66A5"/>
    <w:rsid w:val="00AF047A"/>
    <w:rsid w:val="00AF2E14"/>
    <w:rsid w:val="00AF698A"/>
    <w:rsid w:val="00B04024"/>
    <w:rsid w:val="00B0758C"/>
    <w:rsid w:val="00B1096B"/>
    <w:rsid w:val="00B12C74"/>
    <w:rsid w:val="00B12E7F"/>
    <w:rsid w:val="00B13264"/>
    <w:rsid w:val="00B1486F"/>
    <w:rsid w:val="00B14CCC"/>
    <w:rsid w:val="00B15BA9"/>
    <w:rsid w:val="00B23146"/>
    <w:rsid w:val="00B26EA7"/>
    <w:rsid w:val="00B27BEB"/>
    <w:rsid w:val="00B304E1"/>
    <w:rsid w:val="00B32F17"/>
    <w:rsid w:val="00B37A9E"/>
    <w:rsid w:val="00B43E03"/>
    <w:rsid w:val="00B44919"/>
    <w:rsid w:val="00B4494A"/>
    <w:rsid w:val="00B51873"/>
    <w:rsid w:val="00B567E9"/>
    <w:rsid w:val="00B57093"/>
    <w:rsid w:val="00B631F5"/>
    <w:rsid w:val="00B65736"/>
    <w:rsid w:val="00B67577"/>
    <w:rsid w:val="00B67DA1"/>
    <w:rsid w:val="00B71320"/>
    <w:rsid w:val="00B73D3E"/>
    <w:rsid w:val="00B74EE5"/>
    <w:rsid w:val="00B75937"/>
    <w:rsid w:val="00B76499"/>
    <w:rsid w:val="00B84D61"/>
    <w:rsid w:val="00B85C59"/>
    <w:rsid w:val="00B923B5"/>
    <w:rsid w:val="00B92528"/>
    <w:rsid w:val="00B9356C"/>
    <w:rsid w:val="00B95156"/>
    <w:rsid w:val="00BA2055"/>
    <w:rsid w:val="00BA2C5D"/>
    <w:rsid w:val="00BA382A"/>
    <w:rsid w:val="00BB2F00"/>
    <w:rsid w:val="00BB3034"/>
    <w:rsid w:val="00BB3ADE"/>
    <w:rsid w:val="00BB45E4"/>
    <w:rsid w:val="00BB4B37"/>
    <w:rsid w:val="00BC6657"/>
    <w:rsid w:val="00BD550F"/>
    <w:rsid w:val="00BD6C6D"/>
    <w:rsid w:val="00BD7DE0"/>
    <w:rsid w:val="00BE0A2F"/>
    <w:rsid w:val="00BE1EBA"/>
    <w:rsid w:val="00BE3B0F"/>
    <w:rsid w:val="00BE4B73"/>
    <w:rsid w:val="00BE4F95"/>
    <w:rsid w:val="00BE73D3"/>
    <w:rsid w:val="00BF4A57"/>
    <w:rsid w:val="00BF4F00"/>
    <w:rsid w:val="00C03B25"/>
    <w:rsid w:val="00C05653"/>
    <w:rsid w:val="00C11450"/>
    <w:rsid w:val="00C12481"/>
    <w:rsid w:val="00C12CFE"/>
    <w:rsid w:val="00C13E46"/>
    <w:rsid w:val="00C15E8C"/>
    <w:rsid w:val="00C171F1"/>
    <w:rsid w:val="00C2148F"/>
    <w:rsid w:val="00C21E21"/>
    <w:rsid w:val="00C22862"/>
    <w:rsid w:val="00C2310D"/>
    <w:rsid w:val="00C234E2"/>
    <w:rsid w:val="00C235B5"/>
    <w:rsid w:val="00C23CC0"/>
    <w:rsid w:val="00C2686A"/>
    <w:rsid w:val="00C27EE2"/>
    <w:rsid w:val="00C33457"/>
    <w:rsid w:val="00C344E9"/>
    <w:rsid w:val="00C35423"/>
    <w:rsid w:val="00C35483"/>
    <w:rsid w:val="00C43310"/>
    <w:rsid w:val="00C4383D"/>
    <w:rsid w:val="00C45272"/>
    <w:rsid w:val="00C466FF"/>
    <w:rsid w:val="00C508A0"/>
    <w:rsid w:val="00C50961"/>
    <w:rsid w:val="00C50A9B"/>
    <w:rsid w:val="00C522D9"/>
    <w:rsid w:val="00C57E33"/>
    <w:rsid w:val="00C619B4"/>
    <w:rsid w:val="00C7160A"/>
    <w:rsid w:val="00C72A1B"/>
    <w:rsid w:val="00C72F7A"/>
    <w:rsid w:val="00C73B47"/>
    <w:rsid w:val="00C7515D"/>
    <w:rsid w:val="00C84E35"/>
    <w:rsid w:val="00C84F5A"/>
    <w:rsid w:val="00C936AE"/>
    <w:rsid w:val="00C97F18"/>
    <w:rsid w:val="00CA051C"/>
    <w:rsid w:val="00CA1FF8"/>
    <w:rsid w:val="00CA3DDC"/>
    <w:rsid w:val="00CA4C5A"/>
    <w:rsid w:val="00CA6446"/>
    <w:rsid w:val="00CA697A"/>
    <w:rsid w:val="00CA7219"/>
    <w:rsid w:val="00CB1CD2"/>
    <w:rsid w:val="00CB2750"/>
    <w:rsid w:val="00CB3FC0"/>
    <w:rsid w:val="00CB518C"/>
    <w:rsid w:val="00CB766A"/>
    <w:rsid w:val="00CC15BA"/>
    <w:rsid w:val="00CC1EF7"/>
    <w:rsid w:val="00CC311A"/>
    <w:rsid w:val="00CD2564"/>
    <w:rsid w:val="00CD2756"/>
    <w:rsid w:val="00CD2EDE"/>
    <w:rsid w:val="00CD4533"/>
    <w:rsid w:val="00CD7E3E"/>
    <w:rsid w:val="00CE0D19"/>
    <w:rsid w:val="00CE4EF5"/>
    <w:rsid w:val="00CF47E0"/>
    <w:rsid w:val="00CF5843"/>
    <w:rsid w:val="00CF5BA3"/>
    <w:rsid w:val="00CF6621"/>
    <w:rsid w:val="00CF6916"/>
    <w:rsid w:val="00CF7A47"/>
    <w:rsid w:val="00D05668"/>
    <w:rsid w:val="00D10812"/>
    <w:rsid w:val="00D10844"/>
    <w:rsid w:val="00D1096A"/>
    <w:rsid w:val="00D11F36"/>
    <w:rsid w:val="00D12365"/>
    <w:rsid w:val="00D14F17"/>
    <w:rsid w:val="00D2170F"/>
    <w:rsid w:val="00D24851"/>
    <w:rsid w:val="00D251D3"/>
    <w:rsid w:val="00D260F8"/>
    <w:rsid w:val="00D27033"/>
    <w:rsid w:val="00D32B36"/>
    <w:rsid w:val="00D3309E"/>
    <w:rsid w:val="00D35E26"/>
    <w:rsid w:val="00D35EC4"/>
    <w:rsid w:val="00D36167"/>
    <w:rsid w:val="00D36373"/>
    <w:rsid w:val="00D36E7B"/>
    <w:rsid w:val="00D40831"/>
    <w:rsid w:val="00D43E56"/>
    <w:rsid w:val="00D46001"/>
    <w:rsid w:val="00D518EC"/>
    <w:rsid w:val="00D551E3"/>
    <w:rsid w:val="00D64E7E"/>
    <w:rsid w:val="00D64EC5"/>
    <w:rsid w:val="00D6697B"/>
    <w:rsid w:val="00D71639"/>
    <w:rsid w:val="00D724A4"/>
    <w:rsid w:val="00D76C18"/>
    <w:rsid w:val="00D77741"/>
    <w:rsid w:val="00D81DAD"/>
    <w:rsid w:val="00D81E68"/>
    <w:rsid w:val="00D82B55"/>
    <w:rsid w:val="00D83752"/>
    <w:rsid w:val="00D83F0D"/>
    <w:rsid w:val="00D84023"/>
    <w:rsid w:val="00D85A39"/>
    <w:rsid w:val="00D86A49"/>
    <w:rsid w:val="00D91229"/>
    <w:rsid w:val="00D91F6F"/>
    <w:rsid w:val="00D93B06"/>
    <w:rsid w:val="00D97619"/>
    <w:rsid w:val="00DA485A"/>
    <w:rsid w:val="00DA4A59"/>
    <w:rsid w:val="00DA58B4"/>
    <w:rsid w:val="00DA5AA3"/>
    <w:rsid w:val="00DB3865"/>
    <w:rsid w:val="00DB6379"/>
    <w:rsid w:val="00DB7377"/>
    <w:rsid w:val="00DC4B3C"/>
    <w:rsid w:val="00DC5295"/>
    <w:rsid w:val="00DC770A"/>
    <w:rsid w:val="00DD30DA"/>
    <w:rsid w:val="00DD49AE"/>
    <w:rsid w:val="00DE10C2"/>
    <w:rsid w:val="00DE6EDE"/>
    <w:rsid w:val="00DF251D"/>
    <w:rsid w:val="00DF2532"/>
    <w:rsid w:val="00DF4831"/>
    <w:rsid w:val="00E00A6B"/>
    <w:rsid w:val="00E00E1E"/>
    <w:rsid w:val="00E0171D"/>
    <w:rsid w:val="00E01D49"/>
    <w:rsid w:val="00E073A5"/>
    <w:rsid w:val="00E13558"/>
    <w:rsid w:val="00E162D3"/>
    <w:rsid w:val="00E16762"/>
    <w:rsid w:val="00E17049"/>
    <w:rsid w:val="00E17FD5"/>
    <w:rsid w:val="00E200D9"/>
    <w:rsid w:val="00E2056E"/>
    <w:rsid w:val="00E23375"/>
    <w:rsid w:val="00E242D9"/>
    <w:rsid w:val="00E2485F"/>
    <w:rsid w:val="00E273CD"/>
    <w:rsid w:val="00E31720"/>
    <w:rsid w:val="00E3339C"/>
    <w:rsid w:val="00E34F32"/>
    <w:rsid w:val="00E35B61"/>
    <w:rsid w:val="00E4196C"/>
    <w:rsid w:val="00E428D4"/>
    <w:rsid w:val="00E42929"/>
    <w:rsid w:val="00E42B34"/>
    <w:rsid w:val="00E50107"/>
    <w:rsid w:val="00E50924"/>
    <w:rsid w:val="00E50F3E"/>
    <w:rsid w:val="00E56A33"/>
    <w:rsid w:val="00E61AEF"/>
    <w:rsid w:val="00E654F6"/>
    <w:rsid w:val="00E6574B"/>
    <w:rsid w:val="00E70133"/>
    <w:rsid w:val="00E703CF"/>
    <w:rsid w:val="00E76156"/>
    <w:rsid w:val="00E831E8"/>
    <w:rsid w:val="00E92883"/>
    <w:rsid w:val="00E92C75"/>
    <w:rsid w:val="00E954E6"/>
    <w:rsid w:val="00EA0261"/>
    <w:rsid w:val="00EA16EB"/>
    <w:rsid w:val="00EA3381"/>
    <w:rsid w:val="00EA47D0"/>
    <w:rsid w:val="00EA4F4D"/>
    <w:rsid w:val="00EA678D"/>
    <w:rsid w:val="00EA7234"/>
    <w:rsid w:val="00EB1EA1"/>
    <w:rsid w:val="00EB7EEC"/>
    <w:rsid w:val="00EC1D72"/>
    <w:rsid w:val="00ED007E"/>
    <w:rsid w:val="00ED1AEF"/>
    <w:rsid w:val="00ED20C1"/>
    <w:rsid w:val="00ED3C45"/>
    <w:rsid w:val="00ED4E0D"/>
    <w:rsid w:val="00EE041E"/>
    <w:rsid w:val="00EE481F"/>
    <w:rsid w:val="00EF0AAF"/>
    <w:rsid w:val="00EF120F"/>
    <w:rsid w:val="00EF4521"/>
    <w:rsid w:val="00EF5F7C"/>
    <w:rsid w:val="00EF66FC"/>
    <w:rsid w:val="00EF7BE4"/>
    <w:rsid w:val="00F0153E"/>
    <w:rsid w:val="00F03EA2"/>
    <w:rsid w:val="00F07E72"/>
    <w:rsid w:val="00F11792"/>
    <w:rsid w:val="00F12B7A"/>
    <w:rsid w:val="00F137A2"/>
    <w:rsid w:val="00F13C2D"/>
    <w:rsid w:val="00F14EA0"/>
    <w:rsid w:val="00F1522E"/>
    <w:rsid w:val="00F16191"/>
    <w:rsid w:val="00F22F63"/>
    <w:rsid w:val="00F25B58"/>
    <w:rsid w:val="00F3053C"/>
    <w:rsid w:val="00F31A6F"/>
    <w:rsid w:val="00F32E90"/>
    <w:rsid w:val="00F33098"/>
    <w:rsid w:val="00F3321C"/>
    <w:rsid w:val="00F34A04"/>
    <w:rsid w:val="00F34EA7"/>
    <w:rsid w:val="00F35602"/>
    <w:rsid w:val="00F369E1"/>
    <w:rsid w:val="00F3709F"/>
    <w:rsid w:val="00F40DF7"/>
    <w:rsid w:val="00F4154F"/>
    <w:rsid w:val="00F41F2B"/>
    <w:rsid w:val="00F41FAE"/>
    <w:rsid w:val="00F4326B"/>
    <w:rsid w:val="00F60E23"/>
    <w:rsid w:val="00F63C23"/>
    <w:rsid w:val="00F65160"/>
    <w:rsid w:val="00F74AF1"/>
    <w:rsid w:val="00F776C9"/>
    <w:rsid w:val="00F81033"/>
    <w:rsid w:val="00F82414"/>
    <w:rsid w:val="00F84329"/>
    <w:rsid w:val="00F8508B"/>
    <w:rsid w:val="00F9004E"/>
    <w:rsid w:val="00F908FA"/>
    <w:rsid w:val="00F912DF"/>
    <w:rsid w:val="00F93CDB"/>
    <w:rsid w:val="00F946CB"/>
    <w:rsid w:val="00FA09F9"/>
    <w:rsid w:val="00FA1A7B"/>
    <w:rsid w:val="00FA1B3B"/>
    <w:rsid w:val="00FA1C63"/>
    <w:rsid w:val="00FA2161"/>
    <w:rsid w:val="00FA3047"/>
    <w:rsid w:val="00FA31D9"/>
    <w:rsid w:val="00FA4693"/>
    <w:rsid w:val="00FB2F27"/>
    <w:rsid w:val="00FB323B"/>
    <w:rsid w:val="00FB7B38"/>
    <w:rsid w:val="00FC053D"/>
    <w:rsid w:val="00FC1E0C"/>
    <w:rsid w:val="00FC293C"/>
    <w:rsid w:val="00FC47B9"/>
    <w:rsid w:val="00FC5964"/>
    <w:rsid w:val="00FC7A51"/>
    <w:rsid w:val="00FD0BC4"/>
    <w:rsid w:val="00FD108F"/>
    <w:rsid w:val="00FD5E87"/>
    <w:rsid w:val="00FD68DB"/>
    <w:rsid w:val="00FD774A"/>
    <w:rsid w:val="00FE1B25"/>
    <w:rsid w:val="00FE1CF9"/>
    <w:rsid w:val="00FE4C11"/>
    <w:rsid w:val="00FE573F"/>
    <w:rsid w:val="00FE7A30"/>
    <w:rsid w:val="00FF13CE"/>
    <w:rsid w:val="00FF19AF"/>
    <w:rsid w:val="00FF2EE9"/>
    <w:rsid w:val="00FF469B"/>
    <w:rsid w:val="00FF67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08BDB"/>
  <w15:docId w15:val="{600AA049-2A1E-487A-8807-C3929B84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865"/>
    <w:pPr>
      <w:spacing w:after="0" w:line="240" w:lineRule="auto"/>
    </w:pPr>
    <w:rPr>
      <w:rFonts w:ascii="Times New Roman" w:eastAsia="Times New Roman" w:hAnsi="Times New Roman" w:cs="Times New Roman"/>
      <w:sz w:val="24"/>
      <w:szCs w:val="24"/>
      <w:lang w:val="pt-PT"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B3865"/>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rsid w:val="00DB3865"/>
    <w:rPr>
      <w:sz w:val="20"/>
      <w:szCs w:val="20"/>
    </w:rPr>
  </w:style>
  <w:style w:type="character" w:styleId="FootnoteReference">
    <w:name w:val="footnote reference"/>
    <w:basedOn w:val="DefaultParagraphFont"/>
    <w:uiPriority w:val="99"/>
    <w:semiHidden/>
    <w:unhideWhenUsed/>
    <w:rsid w:val="00DB3865"/>
    <w:rPr>
      <w:vertAlign w:val="superscript"/>
    </w:rPr>
  </w:style>
  <w:style w:type="character" w:styleId="Hyperlink">
    <w:name w:val="Hyperlink"/>
    <w:basedOn w:val="DefaultParagraphFont"/>
    <w:uiPriority w:val="99"/>
    <w:unhideWhenUsed/>
    <w:rsid w:val="00DB3865"/>
    <w:rPr>
      <w:color w:val="0563C1" w:themeColor="hyperlink"/>
      <w:u w:val="single"/>
    </w:rPr>
  </w:style>
  <w:style w:type="paragraph" w:styleId="ListParagraph">
    <w:name w:val="List Paragraph"/>
    <w:basedOn w:val="Normal"/>
    <w:uiPriority w:val="34"/>
    <w:qFormat/>
    <w:rsid w:val="006E3EC8"/>
    <w:pPr>
      <w:ind w:left="720"/>
      <w:contextualSpacing/>
    </w:pPr>
  </w:style>
  <w:style w:type="table" w:styleId="TableGrid">
    <w:name w:val="Table Grid"/>
    <w:basedOn w:val="TableNormal"/>
    <w:uiPriority w:val="39"/>
    <w:rsid w:val="009D6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9D639C"/>
    <w:rPr>
      <w:rFonts w:ascii="AdvOT863180fb" w:hAnsi="AdvOT863180fb" w:hint="default"/>
      <w:b w:val="0"/>
      <w:bCs w:val="0"/>
      <w:i w:val="0"/>
      <w:iCs w:val="0"/>
      <w:color w:val="000000"/>
      <w:sz w:val="14"/>
      <w:szCs w:val="14"/>
    </w:rPr>
  </w:style>
  <w:style w:type="table" w:customStyle="1" w:styleId="TableGrid1">
    <w:name w:val="Table Grid1"/>
    <w:basedOn w:val="TableNormal"/>
    <w:next w:val="TableGrid"/>
    <w:uiPriority w:val="39"/>
    <w:rsid w:val="00835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026EF2"/>
    <w:rPr>
      <w:rFonts w:ascii="AdvPS44A44B" w:hAnsi="AdvPS44A44B" w:hint="default"/>
      <w:b w:val="0"/>
      <w:bCs w:val="0"/>
      <w:i w:val="0"/>
      <w:iCs w:val="0"/>
      <w:color w:val="000000"/>
      <w:sz w:val="14"/>
      <w:szCs w:val="14"/>
    </w:rPr>
  </w:style>
  <w:style w:type="paragraph" w:styleId="HTMLPreformatted">
    <w:name w:val="HTML Preformatted"/>
    <w:basedOn w:val="Normal"/>
    <w:link w:val="HTMLPreformattedChar"/>
    <w:uiPriority w:val="99"/>
    <w:unhideWhenUsed/>
    <w:rsid w:val="00026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026EF2"/>
    <w:rPr>
      <w:rFonts w:ascii="Courier New" w:eastAsia="Times New Roman" w:hAnsi="Courier New" w:cs="Courier New"/>
      <w:sz w:val="20"/>
      <w:szCs w:val="20"/>
    </w:rPr>
  </w:style>
  <w:style w:type="paragraph" w:styleId="NoSpacing">
    <w:name w:val="No Spacing"/>
    <w:link w:val="NoSpacingChar"/>
    <w:uiPriority w:val="1"/>
    <w:qFormat/>
    <w:rsid w:val="00B76499"/>
    <w:pPr>
      <w:spacing w:after="0" w:line="240" w:lineRule="auto"/>
    </w:pPr>
  </w:style>
  <w:style w:type="character" w:customStyle="1" w:styleId="NoSpacingChar">
    <w:name w:val="No Spacing Char"/>
    <w:basedOn w:val="DefaultParagraphFont"/>
    <w:link w:val="NoSpacing"/>
    <w:uiPriority w:val="1"/>
    <w:rsid w:val="00B76499"/>
  </w:style>
  <w:style w:type="paragraph" w:customStyle="1" w:styleId="EndNoteBibliographyTitle">
    <w:name w:val="EndNote Bibliography Title"/>
    <w:basedOn w:val="Normal"/>
    <w:link w:val="EndNoteBibliographyTitleChar"/>
    <w:rsid w:val="002172DA"/>
    <w:pPr>
      <w:jc w:val="center"/>
    </w:pPr>
    <w:rPr>
      <w:noProof/>
    </w:rPr>
  </w:style>
  <w:style w:type="character" w:customStyle="1" w:styleId="EndNoteBibliographyTitleChar">
    <w:name w:val="EndNote Bibliography Title Char"/>
    <w:basedOn w:val="DefaultParagraphFont"/>
    <w:link w:val="EndNoteBibliographyTitle"/>
    <w:rsid w:val="002172DA"/>
    <w:rPr>
      <w:rFonts w:ascii="Times New Roman" w:eastAsia="Times New Roman" w:hAnsi="Times New Roman" w:cs="Times New Roman"/>
      <w:noProof/>
      <w:sz w:val="24"/>
      <w:szCs w:val="24"/>
      <w:lang w:val="pt-PT" w:eastAsia="pt-PT"/>
    </w:rPr>
  </w:style>
  <w:style w:type="paragraph" w:customStyle="1" w:styleId="EndNoteBibliography">
    <w:name w:val="EndNote Bibliography"/>
    <w:basedOn w:val="Normal"/>
    <w:link w:val="EndNoteBibliographyChar"/>
    <w:rsid w:val="002172DA"/>
    <w:pPr>
      <w:jc w:val="both"/>
    </w:pPr>
    <w:rPr>
      <w:noProof/>
    </w:rPr>
  </w:style>
  <w:style w:type="character" w:customStyle="1" w:styleId="EndNoteBibliographyChar">
    <w:name w:val="EndNote Bibliography Char"/>
    <w:basedOn w:val="DefaultParagraphFont"/>
    <w:link w:val="EndNoteBibliography"/>
    <w:rsid w:val="002172DA"/>
    <w:rPr>
      <w:rFonts w:ascii="Times New Roman" w:eastAsia="Times New Roman" w:hAnsi="Times New Roman" w:cs="Times New Roman"/>
      <w:noProof/>
      <w:sz w:val="24"/>
      <w:szCs w:val="24"/>
      <w:lang w:val="pt-PT" w:eastAsia="pt-PT"/>
    </w:rPr>
  </w:style>
  <w:style w:type="paragraph" w:styleId="BalloonText">
    <w:name w:val="Balloon Text"/>
    <w:basedOn w:val="Normal"/>
    <w:link w:val="BalloonTextChar"/>
    <w:uiPriority w:val="99"/>
    <w:semiHidden/>
    <w:unhideWhenUsed/>
    <w:rsid w:val="00582888"/>
    <w:rPr>
      <w:rFonts w:ascii="Tahoma" w:hAnsi="Tahoma" w:cs="Tahoma"/>
      <w:sz w:val="16"/>
      <w:szCs w:val="16"/>
    </w:rPr>
  </w:style>
  <w:style w:type="character" w:customStyle="1" w:styleId="BalloonTextChar">
    <w:name w:val="Balloon Text Char"/>
    <w:basedOn w:val="DefaultParagraphFont"/>
    <w:link w:val="BalloonText"/>
    <w:uiPriority w:val="99"/>
    <w:semiHidden/>
    <w:rsid w:val="00582888"/>
    <w:rPr>
      <w:rFonts w:ascii="Tahoma" w:eastAsia="Times New Roman" w:hAnsi="Tahoma" w:cs="Tahoma"/>
      <w:sz w:val="16"/>
      <w:szCs w:val="16"/>
      <w:lang w:val="pt-PT" w:eastAsia="pt-PT"/>
    </w:rPr>
  </w:style>
  <w:style w:type="character" w:styleId="CommentReference">
    <w:name w:val="annotation reference"/>
    <w:basedOn w:val="DefaultParagraphFont"/>
    <w:uiPriority w:val="99"/>
    <w:semiHidden/>
    <w:unhideWhenUsed/>
    <w:rsid w:val="00EA47D0"/>
    <w:rPr>
      <w:sz w:val="16"/>
      <w:szCs w:val="16"/>
    </w:rPr>
  </w:style>
  <w:style w:type="paragraph" w:styleId="CommentText">
    <w:name w:val="annotation text"/>
    <w:basedOn w:val="Normal"/>
    <w:link w:val="CommentTextChar"/>
    <w:uiPriority w:val="99"/>
    <w:semiHidden/>
    <w:unhideWhenUsed/>
    <w:rsid w:val="00EA47D0"/>
    <w:rPr>
      <w:sz w:val="20"/>
      <w:szCs w:val="20"/>
    </w:rPr>
  </w:style>
  <w:style w:type="character" w:customStyle="1" w:styleId="CommentTextChar">
    <w:name w:val="Comment Text Char"/>
    <w:basedOn w:val="DefaultParagraphFont"/>
    <w:link w:val="CommentText"/>
    <w:uiPriority w:val="99"/>
    <w:semiHidden/>
    <w:rsid w:val="00EA47D0"/>
    <w:rPr>
      <w:rFonts w:ascii="Times New Roman" w:eastAsia="Times New Roman" w:hAnsi="Times New Roman" w:cs="Times New Roman"/>
      <w:sz w:val="20"/>
      <w:szCs w:val="20"/>
      <w:lang w:val="pt-PT" w:eastAsia="pt-PT"/>
    </w:rPr>
  </w:style>
  <w:style w:type="paragraph" w:styleId="CommentSubject">
    <w:name w:val="annotation subject"/>
    <w:basedOn w:val="CommentText"/>
    <w:next w:val="CommentText"/>
    <w:link w:val="CommentSubjectChar"/>
    <w:uiPriority w:val="99"/>
    <w:semiHidden/>
    <w:unhideWhenUsed/>
    <w:rsid w:val="00EA47D0"/>
    <w:rPr>
      <w:b/>
      <w:bCs/>
    </w:rPr>
  </w:style>
  <w:style w:type="character" w:customStyle="1" w:styleId="CommentSubjectChar">
    <w:name w:val="Comment Subject Char"/>
    <w:basedOn w:val="CommentTextChar"/>
    <w:link w:val="CommentSubject"/>
    <w:uiPriority w:val="99"/>
    <w:semiHidden/>
    <w:rsid w:val="00EA47D0"/>
    <w:rPr>
      <w:rFonts w:ascii="Times New Roman" w:eastAsia="Times New Roman" w:hAnsi="Times New Roman" w:cs="Times New Roman"/>
      <w:b/>
      <w:bCs/>
      <w:sz w:val="20"/>
      <w:szCs w:val="20"/>
      <w:lang w:val="pt-PT" w:eastAsia="pt-PT"/>
    </w:rPr>
  </w:style>
  <w:style w:type="character" w:customStyle="1" w:styleId="u-visually-hidden">
    <w:name w:val="u-visually-hidden"/>
    <w:basedOn w:val="DefaultParagraphFont"/>
    <w:rsid w:val="00A65E89"/>
  </w:style>
  <w:style w:type="paragraph" w:styleId="Header">
    <w:name w:val="header"/>
    <w:basedOn w:val="Normal"/>
    <w:link w:val="HeaderChar"/>
    <w:uiPriority w:val="99"/>
    <w:unhideWhenUsed/>
    <w:rsid w:val="00372CE1"/>
    <w:pPr>
      <w:tabs>
        <w:tab w:val="center" w:pos="4680"/>
        <w:tab w:val="right" w:pos="9360"/>
      </w:tabs>
    </w:pPr>
  </w:style>
  <w:style w:type="character" w:customStyle="1" w:styleId="HeaderChar">
    <w:name w:val="Header Char"/>
    <w:basedOn w:val="DefaultParagraphFont"/>
    <w:link w:val="Header"/>
    <w:uiPriority w:val="99"/>
    <w:rsid w:val="00372CE1"/>
    <w:rPr>
      <w:rFonts w:ascii="Times New Roman" w:eastAsia="Times New Roman" w:hAnsi="Times New Roman" w:cs="Times New Roman"/>
      <w:sz w:val="24"/>
      <w:szCs w:val="24"/>
      <w:lang w:val="pt-PT" w:eastAsia="pt-PT"/>
    </w:rPr>
  </w:style>
  <w:style w:type="paragraph" w:styleId="Footer">
    <w:name w:val="footer"/>
    <w:basedOn w:val="Normal"/>
    <w:link w:val="FooterChar"/>
    <w:uiPriority w:val="99"/>
    <w:unhideWhenUsed/>
    <w:rsid w:val="00372CE1"/>
    <w:pPr>
      <w:tabs>
        <w:tab w:val="center" w:pos="4680"/>
        <w:tab w:val="right" w:pos="9360"/>
      </w:tabs>
    </w:pPr>
  </w:style>
  <w:style w:type="character" w:customStyle="1" w:styleId="FooterChar">
    <w:name w:val="Footer Char"/>
    <w:basedOn w:val="DefaultParagraphFont"/>
    <w:link w:val="Footer"/>
    <w:uiPriority w:val="99"/>
    <w:rsid w:val="00372CE1"/>
    <w:rPr>
      <w:rFonts w:ascii="Times New Roman" w:eastAsia="Times New Roman" w:hAnsi="Times New Roman" w:cs="Times New Roman"/>
      <w:sz w:val="24"/>
      <w:szCs w:val="24"/>
      <w:lang w:val="pt-PT" w:eastAsia="pt-PT"/>
    </w:rPr>
  </w:style>
  <w:style w:type="character" w:styleId="PlaceholderText">
    <w:name w:val="Placeholder Text"/>
    <w:basedOn w:val="DefaultParagraphFont"/>
    <w:uiPriority w:val="99"/>
    <w:semiHidden/>
    <w:rsid w:val="00105F0D"/>
    <w:rPr>
      <w:color w:val="808080"/>
    </w:rPr>
  </w:style>
  <w:style w:type="character" w:styleId="FollowedHyperlink">
    <w:name w:val="FollowedHyperlink"/>
    <w:basedOn w:val="DefaultParagraphFont"/>
    <w:uiPriority w:val="99"/>
    <w:semiHidden/>
    <w:unhideWhenUsed/>
    <w:rsid w:val="007D5064"/>
    <w:rPr>
      <w:color w:val="954F72" w:themeColor="followedHyperlink"/>
      <w:u w:val="single"/>
    </w:rPr>
  </w:style>
  <w:style w:type="paragraph" w:styleId="Revision">
    <w:name w:val="Revision"/>
    <w:hidden/>
    <w:uiPriority w:val="99"/>
    <w:semiHidden/>
    <w:rsid w:val="007D5064"/>
    <w:pPr>
      <w:spacing w:after="0" w:line="240" w:lineRule="auto"/>
    </w:pPr>
    <w:rPr>
      <w:rFonts w:ascii="Times New Roman" w:eastAsia="Times New Roman" w:hAnsi="Times New Roman" w:cs="Times New Roman"/>
      <w:sz w:val="24"/>
      <w:szCs w:val="24"/>
      <w:lang w:val="pt-PT" w:eastAsia="pt-PT"/>
    </w:rPr>
  </w:style>
  <w:style w:type="character" w:customStyle="1" w:styleId="UnresolvedMention1">
    <w:name w:val="Unresolved Mention1"/>
    <w:basedOn w:val="DefaultParagraphFont"/>
    <w:uiPriority w:val="99"/>
    <w:semiHidden/>
    <w:unhideWhenUsed/>
    <w:rsid w:val="00093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6407">
      <w:bodyDiv w:val="1"/>
      <w:marLeft w:val="0"/>
      <w:marRight w:val="0"/>
      <w:marTop w:val="0"/>
      <w:marBottom w:val="0"/>
      <w:divBdr>
        <w:top w:val="none" w:sz="0" w:space="0" w:color="auto"/>
        <w:left w:val="none" w:sz="0" w:space="0" w:color="auto"/>
        <w:bottom w:val="none" w:sz="0" w:space="0" w:color="auto"/>
        <w:right w:val="none" w:sz="0" w:space="0" w:color="auto"/>
      </w:divBdr>
    </w:div>
    <w:div w:id="179397202">
      <w:bodyDiv w:val="1"/>
      <w:marLeft w:val="0"/>
      <w:marRight w:val="0"/>
      <w:marTop w:val="0"/>
      <w:marBottom w:val="0"/>
      <w:divBdr>
        <w:top w:val="none" w:sz="0" w:space="0" w:color="auto"/>
        <w:left w:val="none" w:sz="0" w:space="0" w:color="auto"/>
        <w:bottom w:val="none" w:sz="0" w:space="0" w:color="auto"/>
        <w:right w:val="none" w:sz="0" w:space="0" w:color="auto"/>
      </w:divBdr>
    </w:div>
    <w:div w:id="234436145">
      <w:bodyDiv w:val="1"/>
      <w:marLeft w:val="0"/>
      <w:marRight w:val="0"/>
      <w:marTop w:val="0"/>
      <w:marBottom w:val="0"/>
      <w:divBdr>
        <w:top w:val="none" w:sz="0" w:space="0" w:color="auto"/>
        <w:left w:val="none" w:sz="0" w:space="0" w:color="auto"/>
        <w:bottom w:val="none" w:sz="0" w:space="0" w:color="auto"/>
        <w:right w:val="none" w:sz="0" w:space="0" w:color="auto"/>
      </w:divBdr>
    </w:div>
    <w:div w:id="643972528">
      <w:bodyDiv w:val="1"/>
      <w:marLeft w:val="0"/>
      <w:marRight w:val="0"/>
      <w:marTop w:val="0"/>
      <w:marBottom w:val="0"/>
      <w:divBdr>
        <w:top w:val="none" w:sz="0" w:space="0" w:color="auto"/>
        <w:left w:val="none" w:sz="0" w:space="0" w:color="auto"/>
        <w:bottom w:val="none" w:sz="0" w:space="0" w:color="auto"/>
        <w:right w:val="none" w:sz="0" w:space="0" w:color="auto"/>
      </w:divBdr>
    </w:div>
    <w:div w:id="841510324">
      <w:bodyDiv w:val="1"/>
      <w:marLeft w:val="0"/>
      <w:marRight w:val="0"/>
      <w:marTop w:val="0"/>
      <w:marBottom w:val="0"/>
      <w:divBdr>
        <w:top w:val="none" w:sz="0" w:space="0" w:color="auto"/>
        <w:left w:val="none" w:sz="0" w:space="0" w:color="auto"/>
        <w:bottom w:val="none" w:sz="0" w:space="0" w:color="auto"/>
        <w:right w:val="none" w:sz="0" w:space="0" w:color="auto"/>
      </w:divBdr>
    </w:div>
    <w:div w:id="848832596">
      <w:bodyDiv w:val="1"/>
      <w:marLeft w:val="0"/>
      <w:marRight w:val="0"/>
      <w:marTop w:val="0"/>
      <w:marBottom w:val="0"/>
      <w:divBdr>
        <w:top w:val="none" w:sz="0" w:space="0" w:color="auto"/>
        <w:left w:val="none" w:sz="0" w:space="0" w:color="auto"/>
        <w:bottom w:val="none" w:sz="0" w:space="0" w:color="auto"/>
        <w:right w:val="none" w:sz="0" w:space="0" w:color="auto"/>
      </w:divBdr>
    </w:div>
    <w:div w:id="985088234">
      <w:bodyDiv w:val="1"/>
      <w:marLeft w:val="0"/>
      <w:marRight w:val="0"/>
      <w:marTop w:val="0"/>
      <w:marBottom w:val="0"/>
      <w:divBdr>
        <w:top w:val="none" w:sz="0" w:space="0" w:color="auto"/>
        <w:left w:val="none" w:sz="0" w:space="0" w:color="auto"/>
        <w:bottom w:val="none" w:sz="0" w:space="0" w:color="auto"/>
        <w:right w:val="none" w:sz="0" w:space="0" w:color="auto"/>
      </w:divBdr>
    </w:div>
    <w:div w:id="1086150149">
      <w:bodyDiv w:val="1"/>
      <w:marLeft w:val="0"/>
      <w:marRight w:val="0"/>
      <w:marTop w:val="0"/>
      <w:marBottom w:val="0"/>
      <w:divBdr>
        <w:top w:val="none" w:sz="0" w:space="0" w:color="auto"/>
        <w:left w:val="none" w:sz="0" w:space="0" w:color="auto"/>
        <w:bottom w:val="none" w:sz="0" w:space="0" w:color="auto"/>
        <w:right w:val="none" w:sz="0" w:space="0" w:color="auto"/>
      </w:divBdr>
    </w:div>
    <w:div w:id="1486625973">
      <w:bodyDiv w:val="1"/>
      <w:marLeft w:val="0"/>
      <w:marRight w:val="0"/>
      <w:marTop w:val="0"/>
      <w:marBottom w:val="0"/>
      <w:divBdr>
        <w:top w:val="none" w:sz="0" w:space="0" w:color="auto"/>
        <w:left w:val="none" w:sz="0" w:space="0" w:color="auto"/>
        <w:bottom w:val="none" w:sz="0" w:space="0" w:color="auto"/>
        <w:right w:val="none" w:sz="0" w:space="0" w:color="auto"/>
      </w:divBdr>
    </w:div>
    <w:div w:id="1699157242">
      <w:bodyDiv w:val="1"/>
      <w:marLeft w:val="0"/>
      <w:marRight w:val="0"/>
      <w:marTop w:val="0"/>
      <w:marBottom w:val="0"/>
      <w:divBdr>
        <w:top w:val="none" w:sz="0" w:space="0" w:color="auto"/>
        <w:left w:val="none" w:sz="0" w:space="0" w:color="auto"/>
        <w:bottom w:val="none" w:sz="0" w:space="0" w:color="auto"/>
        <w:right w:val="none" w:sz="0" w:space="0" w:color="auto"/>
      </w:divBdr>
    </w:div>
    <w:div w:id="183699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3390/en13246650" TargetMode="External"/><Relationship Id="rId18" Type="http://schemas.openxmlformats.org/officeDocument/2006/relationships/hyperlink" Target="https://doi.org/10.1016/S0304-4076(1098)00023-00022" TargetMode="External"/><Relationship Id="rId26" Type="http://schemas.openxmlformats.org/officeDocument/2006/relationships/hyperlink" Target="https://doi.org/610.1111/1468-0084.0610s1653" TargetMode="External"/><Relationship Id="rId21" Type="http://schemas.openxmlformats.org/officeDocument/2006/relationships/hyperlink" Target="https://doi.org/10.2307/1913643" TargetMode="External"/><Relationship Id="rId34" Type="http://schemas.openxmlformats.org/officeDocument/2006/relationships/hyperlink" Target="https://doi.org/310.1016/j.renene.2021.1002.1066" TargetMode="External"/><Relationship Id="rId7" Type="http://schemas.openxmlformats.org/officeDocument/2006/relationships/endnotes" Target="endnotes.xml"/><Relationship Id="rId12" Type="http://schemas.openxmlformats.org/officeDocument/2006/relationships/hyperlink" Target="https://doi.org/10.1016/j.rser.2017.03.031" TargetMode="External"/><Relationship Id="rId17" Type="http://schemas.openxmlformats.org/officeDocument/2006/relationships/hyperlink" Target="https://data.imf.org/?sk=3567E911-4282-4427-98F9-2B8A6F83C3B6" TargetMode="External"/><Relationship Id="rId25" Type="http://schemas.openxmlformats.org/officeDocument/2006/relationships/hyperlink" Target="https://doi.org/10.3390/su12219031" TargetMode="External"/><Relationship Id="rId33" Type="http://schemas.openxmlformats.org/officeDocument/2006/relationships/hyperlink" Target="https://doi.org/1310.1016/j.jclepro.2015.1306.104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510.101016/j.scs.102019.101516" TargetMode="External"/><Relationship Id="rId20" Type="http://schemas.openxmlformats.org/officeDocument/2006/relationships/hyperlink" Target="https://doi.org/10.1016/j.jmva.2004.05.006" TargetMode="External"/><Relationship Id="rId29" Type="http://schemas.openxmlformats.org/officeDocument/2006/relationships/hyperlink" Target="https://doi.org/10.1016/j.enpol.2016.08.0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x-mol.com/paperRedirect/1294269621563170816" TargetMode="External"/><Relationship Id="rId24" Type="http://schemas.openxmlformats.org/officeDocument/2006/relationships/hyperlink" Target="https://doi.org/310.1080/09638199.09632018.01534878" TargetMode="External"/><Relationship Id="rId32" Type="http://schemas.openxmlformats.org/officeDocument/2006/relationships/hyperlink" Target="https://doi.org/210.1016/j.ecolind.2015.1006.104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nk.springer.com/article/10.14208/BF03353831" TargetMode="External"/><Relationship Id="rId23" Type="http://schemas.openxmlformats.org/officeDocument/2006/relationships/hyperlink" Target="http://www.footprintnetwork.org/" TargetMode="External"/><Relationship Id="rId28" Type="http://schemas.openxmlformats.org/officeDocument/2006/relationships/hyperlink" Target="https://doi.org/110.1007/BF01891203" TargetMode="External"/><Relationship Id="rId36" Type="http://schemas.openxmlformats.org/officeDocument/2006/relationships/footer" Target="footer1.xml"/><Relationship Id="rId10" Type="http://schemas.openxmlformats.org/officeDocument/2006/relationships/hyperlink" Target="https://doi.org/10.1016/j.scitotenv.2019.05.139" TargetMode="External"/><Relationship Id="rId19" Type="http://schemas.openxmlformats.org/officeDocument/2006/relationships/hyperlink" Target="https://doi.org/142210.141016/j.scitotenv.142020.142222" TargetMode="External"/><Relationship Id="rId31" Type="http://schemas.openxmlformats.org/officeDocument/2006/relationships/hyperlink" Target="https://doi.org/310.1016/j.apenergy.2010.1007.1022" TargetMode="External"/><Relationship Id="rId4" Type="http://schemas.openxmlformats.org/officeDocument/2006/relationships/settings" Target="settings.xml"/><Relationship Id="rId9" Type="http://schemas.openxmlformats.org/officeDocument/2006/relationships/hyperlink" Target="https://doi.org/1610.1016/j.rser.2015.1610.1131" TargetMode="External"/><Relationship Id="rId14" Type="http://schemas.openxmlformats.org/officeDocument/2006/relationships/hyperlink" Target="https://doi.org/10.1007/s11356-016-8070-6" TargetMode="External"/><Relationship Id="rId22" Type="http://schemas.openxmlformats.org/officeDocument/2006/relationships/hyperlink" Target="https://doi.org/1510.1111/1468-0262.00342" TargetMode="External"/><Relationship Id="rId27" Type="http://schemas.openxmlformats.org/officeDocument/2006/relationships/hyperlink" Target="https://doi.org/210.2307/2987935" TargetMode="External"/><Relationship Id="rId30" Type="http://schemas.openxmlformats.org/officeDocument/2006/relationships/hyperlink" Target="https://doi.org/10.1111/1467-8454.12163" TargetMode="External"/><Relationship Id="rId35" Type="http://schemas.openxmlformats.org/officeDocument/2006/relationships/hyperlink" Target="http://www.anielski.com" TargetMode="External"/><Relationship Id="rId8" Type="http://schemas.openxmlformats.org/officeDocument/2006/relationships/hyperlink" Target="https://doi.org/10.1016/j.eneco.2019.104504"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8B74A-DA5C-40CF-9D4D-460A35F51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7546</Words>
  <Characters>43013</Characters>
  <Application>Microsoft Office Word</Application>
  <DocSecurity>0</DocSecurity>
  <Lines>358</Lines>
  <Paragraphs>100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50459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masoud homayounifar</cp:lastModifiedBy>
  <cp:revision>2</cp:revision>
  <dcterms:created xsi:type="dcterms:W3CDTF">2022-12-14T14:30:00Z</dcterms:created>
  <dcterms:modified xsi:type="dcterms:W3CDTF">2022-12-14T14:30:00Z</dcterms:modified>
</cp:coreProperties>
</file>